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Checklist: selling online in Algeria (Law 18-05)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Source: Law no. 18-05 of 10 May 2018 on electronic commerce (JORADP no. 28 of 16 May 2018). Tick each line. The “Art.” column points to the article of the law.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1. Before you open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Item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Done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Entry in the commercial register or the craft register (or a status that allows it: confirm in writing with ANAE if you are an auto-entrepreneur)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8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Product or service not banned from online sale (gambling, alcohol, tobacco, medicines, counterfeits, notarised deeds…)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3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Website or page hosted in Algeria with a .com.dz extension and authentication tools (confirm in practice: see the article)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8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Domain name filed with the CNRC; entry in the national file of e-suppliers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9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2. On every offer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Item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Done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Seller’s NIF, physical and email addresses, phone number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Commercial register number or craftsman’s card number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Nature, features and price including all taxes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Availability, delivery terms, fees and times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Offer visible, legible and understandable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3. When the order is placed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Item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Done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Electronic commercial offer, then an electronic contract validated by the customer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Three steps: contract terms, order review (change, cancel, correct), confirmation that forms the contract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12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No field that steers the customer’s choice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12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Contract content: specifications, delivery, warranty and after-sales, termination, payment, returns, complaints, general terms, competent court, withdrawal where relevant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13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Electronic copy of the contract sent to the customer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19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Do not confirm an order for a product that is not in stock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24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4. Delivery, returns, invoice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Item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Done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Acknowledgement of receipt requested on delivery, copy given to the customer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17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Invoice issued and handed over (on paper if the customer asks)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Non-conforming or defective product taken back; refund within 15 days of receiving the product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23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Do not bill a product that was not ordered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21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Keep the transaction register and send it to the CNRC electronically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25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5. Payment, data, advertising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36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Item</w:t>
            </w:r>
          </w:p>
        </w:tc>
        <w:tc>
          <w:tcPr>
            <w:tcW w:type="dxa" w:w="850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Art.</w:t>
            </w:r>
          </w:p>
        </w:tc>
        <w:tc>
          <w:tcPr>
            <w:tcW w:type="dxa" w:w="1417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Done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Electronic payment through the platforms of approved banks and Algérie Poste, connection secured by electronic certification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27, 28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Personal data: only what is needed, prior consent, file security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26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Advertising identifiable as such, advertiser identified, discounts and gifts clearly shown, conditions not misleading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30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  <w:tr>
        <w:tc>
          <w:tcPr>
            <w:tcW w:type="dxa" w:w="6236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No direct marketing without prior consent; free unsubscribe, honoured within 24 hours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31, 32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[ ]</w:t>
            </w:r>
          </w:p>
        </w:tc>
      </w:tr>
    </w:tbl>
    <w:p/>
    <w:p>
      <w:pPr>
        <w:spacing w:after="100"/>
      </w:pPr>
      <w:r>
        <w:rPr>
          <w:b w:val="0"/>
          <w:i/>
          <w:color w:val="666666"/>
          <w:sz w:val="19"/>
          <w:rFonts w:ascii="Arial" w:hAnsi="Arial" w:cs="Arial" w:eastAsia="Arial"/>
        </w:rPr>
        <w:t>Fines in the law: from 20,000 DA to 2,000,000 DA depending on the offence (arts 37 to 41). A judge can close the site (arts 37 and 38) or suspend access to payment platforms for up to 6 months (art. 39); the domain name can be suspended (arts 42 and 43); the fine doubles for a repeat within 12 months (art. 48).</w:t>
      </w:r>
    </w:p>
    <w:p>
      <w:r>
        <w:rPr>
          <w:b w:val="0"/>
          <w:i/>
          <w:color w:val="888888"/>
          <w:sz w:val="17"/>
          <w:rFonts w:ascii="Arial" w:hAnsi="Arial" w:cs="Arial" w:eastAsia="Arial"/>
        </w:rPr>
        <w:t>Template provided by bizalgeria.com for guidance, version of 29 October 2026. It is not legal advice: have a lawyer read it before you use it. Replace everything in square brackets.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