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200"/>
        <w:jc w:val="right"/>
      </w:pPr>
      <w:r>
        <w:rPr>
          <w:b/>
          <w:i w:val="0"/>
          <w:color w:val="0B6B4F"/>
          <w:sz w:val="36"/>
          <w:rFonts w:ascii="Arial" w:hAnsi="Arial" w:cs="Arial" w:eastAsia="Arial"/>
          <w:rtl/>
          <w:szCs w:val="36"/>
          <w:bCs/>
        </w:rPr>
        <w:t>عقد تقديم خدمات (نموذج للمستقل)</w:t>
      </w:r>
    </w:p>
    <w:p>
      <w:pPr>
        <w:bidi/>
        <w:spacing w:before="200" w:after="60"/>
        <w:jc w:val="right"/>
      </w:pPr>
      <w:r>
        <w:rPr>
          <w:b/>
          <w:i w:val="0"/>
          <w:color w:val="0B6B4F"/>
          <w:sz w:val="24"/>
          <w:rFonts w:ascii="Arial" w:hAnsi="Arial" w:cs="Arial" w:eastAsia="Arial"/>
          <w:rtl/>
          <w:szCs w:val="24"/>
          <w:bCs/>
        </w:rPr>
        <w:t>بين الموقّعين أدناه</w:t>
      </w:r>
    </w:p>
    <w:p>
      <w:pPr>
        <w:bidi/>
        <w:spacing w:after="100"/>
        <w:jc w:val="right"/>
      </w:pPr>
      <w:r>
        <w:rPr>
          <w:b w:val="0"/>
          <w:i w:val="0"/>
          <w:sz w:val="22"/>
          <w:rFonts w:ascii="Arial" w:hAnsi="Arial" w:cs="Arial" w:eastAsia="Arial"/>
          <w:rtl/>
          <w:szCs w:val="22"/>
        </w:rPr>
        <w:t>مقدم الخدمة: [الاسم واللقب]، مقاول ذاتي، بطاقة الوكالة رقم [الرقم]، النشاط [الرمز والعنوان]، رقم التعريف الجبائي [الرقم]، العنوان [العنوان]، الهاتف [الرقم]، البريد الإلكتروني [العنوان]، ويُسمى «مقدم الخدمة».</w:t>
      </w:r>
    </w:p>
    <w:p>
      <w:pPr>
        <w:bidi/>
        <w:spacing w:after="100"/>
        <w:jc w:val="right"/>
      </w:pPr>
      <w:r>
        <w:rPr>
          <w:b w:val="0"/>
          <w:i w:val="0"/>
          <w:sz w:val="22"/>
          <w:rFonts w:ascii="Arial" w:hAnsi="Arial" w:cs="Arial" w:eastAsia="Arial"/>
          <w:rtl/>
          <w:szCs w:val="22"/>
        </w:rPr>
        <w:t>الزبون: [اسم الشركة أو الاسم]، ممثلا بـ [الاسم والصفة]، السجل التجاري رقم [الرقم] / رقم التعريف الجبائي [الرقم]، العنوان [العنوان]، ويُسمى «الزبون».</w:t>
      </w:r>
    </w:p>
    <w:p>
      <w:pPr>
        <w:bidi/>
        <w:spacing w:before="200" w:after="60"/>
        <w:jc w:val="right"/>
      </w:pPr>
      <w:r>
        <w:rPr>
          <w:b/>
          <w:i w:val="0"/>
          <w:color w:val="0B6B4F"/>
          <w:sz w:val="24"/>
          <w:rFonts w:ascii="Arial" w:hAnsi="Arial" w:cs="Arial" w:eastAsia="Arial"/>
          <w:rtl/>
          <w:szCs w:val="24"/>
          <w:bCs/>
        </w:rPr>
        <w:t>المادة 1. الموضوع</w:t>
      </w:r>
    </w:p>
    <w:p>
      <w:pPr>
        <w:bidi/>
        <w:spacing w:after="100"/>
        <w:jc w:val="right"/>
      </w:pPr>
      <w:r>
        <w:rPr>
          <w:b w:val="0"/>
          <w:i w:val="0"/>
          <w:sz w:val="22"/>
          <w:rFonts w:ascii="Arial" w:hAnsi="Arial" w:cs="Arial" w:eastAsia="Arial"/>
          <w:rtl/>
          <w:szCs w:val="22"/>
        </w:rPr>
        <w:t>ينجز مقدم الخدمة للزبون المهمة التالية: [وصف دقيق]. المخرجات: [قائمة]. لا يشمل العقد: [قائمة].</w:t>
      </w:r>
    </w:p>
    <w:p>
      <w:pPr>
        <w:bidi/>
        <w:spacing w:before="200" w:after="60"/>
        <w:jc w:val="right"/>
      </w:pPr>
      <w:r>
        <w:rPr>
          <w:b/>
          <w:i w:val="0"/>
          <w:color w:val="0B6B4F"/>
          <w:sz w:val="24"/>
          <w:rFonts w:ascii="Arial" w:hAnsi="Arial" w:cs="Arial" w:eastAsia="Arial"/>
          <w:rtl/>
          <w:szCs w:val="24"/>
          <w:bCs/>
        </w:rPr>
        <w:t>المادة 2. الآجال</w:t>
      </w:r>
    </w:p>
    <w:p>
      <w:pPr>
        <w:bidi/>
        <w:spacing w:after="100"/>
        <w:jc w:val="right"/>
      </w:pPr>
      <w:r>
        <w:rPr>
          <w:b w:val="0"/>
          <w:i w:val="0"/>
          <w:sz w:val="22"/>
          <w:rFonts w:ascii="Arial" w:hAnsi="Arial" w:cs="Arial" w:eastAsia="Arial"/>
          <w:rtl/>
          <w:szCs w:val="22"/>
        </w:rPr>
        <w:t>تبدأ المهمة في [التاريخ] بعد استلام الدفعة المسبقة والمواد التي يوفرها الزبون. التسليم: [التاريخ أو المدة]. يوفر الزبون [المحتويات والصلاحيات والملاحظات] خلال [5] أيام عمل؛ وكل يوم تأخير من الزبون يؤخر آجال مقدم الخدمة بقدره.</w:t>
      </w:r>
    </w:p>
    <w:p>
      <w:pPr>
        <w:bidi/>
        <w:spacing w:before="200" w:after="60"/>
        <w:jc w:val="right"/>
      </w:pPr>
      <w:r>
        <w:rPr>
          <w:b/>
          <w:i w:val="0"/>
          <w:color w:val="0B6B4F"/>
          <w:sz w:val="24"/>
          <w:rFonts w:ascii="Arial" w:hAnsi="Arial" w:cs="Arial" w:eastAsia="Arial"/>
          <w:rtl/>
          <w:szCs w:val="24"/>
          <w:bCs/>
        </w:rPr>
        <w:t>المادة 3. الثمن والدفع</w:t>
      </w:r>
    </w:p>
    <w:p>
      <w:pPr>
        <w:bidi/>
        <w:spacing w:after="100"/>
        <w:jc w:val="right"/>
      </w:pPr>
      <w:r>
        <w:rPr>
          <w:b w:val="0"/>
          <w:i w:val="0"/>
          <w:sz w:val="22"/>
          <w:rFonts w:ascii="Arial" w:hAnsi="Arial" w:cs="Arial" w:eastAsia="Arial"/>
          <w:rtl/>
          <w:szCs w:val="22"/>
        </w:rPr>
        <w:t>الثمن جزافي: [المبلغ] دج، [صافٍ / خارج الرسوم]. دفعة مسبقة بنسبة [30]% عند التوقيع أي [المبلغ] دج. الباقي: [المبلغ] دج عند التسليم [أو حسب الجدول: …]. كل فاتورة واجبة الدفع خلال [15] يوما من تاريخها عن طريق [تحويل بنكي / شيك / نقدا مقابل وصل].</w:t>
      </w:r>
    </w:p>
    <w:p>
      <w:pPr>
        <w:bidi/>
        <w:spacing w:before="200" w:after="60"/>
        <w:jc w:val="right"/>
      </w:pPr>
      <w:r>
        <w:rPr>
          <w:b/>
          <w:i w:val="0"/>
          <w:color w:val="0B6B4F"/>
          <w:sz w:val="24"/>
          <w:rFonts w:ascii="Arial" w:hAnsi="Arial" w:cs="Arial" w:eastAsia="Arial"/>
          <w:rtl/>
          <w:szCs w:val="24"/>
          <w:bCs/>
        </w:rPr>
        <w:t>المادة 4. التعديلات</w:t>
      </w:r>
    </w:p>
    <w:p>
      <w:pPr>
        <w:bidi/>
        <w:spacing w:after="100"/>
        <w:jc w:val="right"/>
      </w:pPr>
      <w:r>
        <w:rPr>
          <w:b w:val="0"/>
          <w:i w:val="0"/>
          <w:sz w:val="22"/>
          <w:rFonts w:ascii="Arial" w:hAnsi="Arial" w:cs="Arial" w:eastAsia="Arial"/>
          <w:rtl/>
          <w:szCs w:val="22"/>
        </w:rPr>
        <w:t>كل طلب خارج المادة 1 يكون موضوع عرض أسعار كتابي يُوقَّع قبل التنفيذ. يشمل الثمن [2] جولات تصحيح؛ وما بعدها يُفوتر بمبلغ [المبلغ أو السعر بالساعة].</w:t>
      </w:r>
    </w:p>
    <w:p>
      <w:pPr>
        <w:bidi/>
        <w:spacing w:before="200" w:after="60"/>
        <w:jc w:val="right"/>
      </w:pPr>
      <w:r>
        <w:rPr>
          <w:b/>
          <w:i w:val="0"/>
          <w:color w:val="0B6B4F"/>
          <w:sz w:val="24"/>
          <w:rFonts w:ascii="Arial" w:hAnsi="Arial" w:cs="Arial" w:eastAsia="Arial"/>
          <w:rtl/>
          <w:szCs w:val="24"/>
          <w:bCs/>
        </w:rPr>
        <w:t>المادة 5. التأخر في الدفع</w:t>
      </w:r>
    </w:p>
    <w:p>
      <w:pPr>
        <w:bidi/>
        <w:spacing w:after="100"/>
        <w:jc w:val="right"/>
      </w:pPr>
      <w:r>
        <w:rPr>
          <w:b w:val="0"/>
          <w:i w:val="0"/>
          <w:sz w:val="22"/>
          <w:rFonts w:ascii="Arial" w:hAnsi="Arial" w:cs="Arial" w:eastAsia="Arial"/>
          <w:rtl/>
          <w:szCs w:val="22"/>
        </w:rPr>
        <w:t>يُعتبر الزبون معذَّرا بمجرد حلول أجل كل فاتورة دون حاجة إلى أي إجراء آخر. وكل مبلغ غير مدفوع عند الأجل يستحق بقوة الاتفاق تعويضا جزافيا عن التأخر قدره [1]% من المبلغ غير المدفوع عن كل أسبوع تأخير بدأ، في حدود [10]% من مبلغ الفاتورة.</w:t>
      </w:r>
    </w:p>
    <w:p>
      <w:pPr>
        <w:bidi/>
        <w:spacing w:after="100"/>
        <w:jc w:val="right"/>
      </w:pPr>
      <w:r>
        <w:rPr>
          <w:b w:val="0"/>
          <w:i w:val="0"/>
          <w:sz w:val="22"/>
          <w:rFonts w:ascii="Arial" w:hAnsi="Arial" w:cs="Arial" w:eastAsia="Arial"/>
          <w:rtl/>
          <w:szCs w:val="22"/>
        </w:rPr>
        <w:t>بعد إشعار كتابي مدته [7] أيام دون أثر، يجوز لمقدم الخدمة تعليق الأشغال؛ وتُعلَّق آجال التسليم إلى حين الدفع.</w:t>
      </w:r>
    </w:p>
    <w:p>
      <w:pPr>
        <w:bidi/>
        <w:spacing w:before="200" w:after="60"/>
        <w:jc w:val="right"/>
      </w:pPr>
      <w:r>
        <w:rPr>
          <w:b/>
          <w:i w:val="0"/>
          <w:color w:val="0B6B4F"/>
          <w:sz w:val="24"/>
          <w:rFonts w:ascii="Arial" w:hAnsi="Arial" w:cs="Arial" w:eastAsia="Arial"/>
          <w:rtl/>
          <w:szCs w:val="24"/>
          <w:bCs/>
        </w:rPr>
        <w:t>المادة 6. الإنهاء المبكر</w:t>
      </w:r>
    </w:p>
    <w:p>
      <w:pPr>
        <w:bidi/>
        <w:spacing w:after="100"/>
        <w:jc w:val="right"/>
      </w:pPr>
      <w:r>
        <w:rPr>
          <w:b w:val="0"/>
          <w:i w:val="0"/>
          <w:sz w:val="22"/>
          <w:rFonts w:ascii="Arial" w:hAnsi="Arial" w:cs="Arial" w:eastAsia="Arial"/>
          <w:rtl/>
          <w:szCs w:val="22"/>
        </w:rPr>
        <w:t>يجوز للزبون إنهاء المهمة قبل نهايتها بإشعار كتابي. ويدفع حينها ثمن العمل المنجز والمصاريف المتكبدة و[20]% من الرصيد المتبقي. ويجوز لمقدم الخدمة فسخ العقد إذا بقيت فاتورة غير مدفوعة [30] يوما بعد إعذار كتابي.</w:t>
      </w:r>
    </w:p>
    <w:p>
      <w:pPr>
        <w:bidi/>
        <w:spacing w:before="200" w:after="60"/>
        <w:jc w:val="right"/>
      </w:pPr>
      <w:r>
        <w:rPr>
          <w:b/>
          <w:i w:val="0"/>
          <w:color w:val="0B6B4F"/>
          <w:sz w:val="24"/>
          <w:rFonts w:ascii="Arial" w:hAnsi="Arial" w:cs="Arial" w:eastAsia="Arial"/>
          <w:rtl/>
          <w:szCs w:val="24"/>
          <w:bCs/>
        </w:rPr>
        <w:t>المادة 7. الملكية الفكرية</w:t>
      </w:r>
    </w:p>
    <w:p>
      <w:pPr>
        <w:bidi/>
        <w:spacing w:after="100"/>
        <w:jc w:val="right"/>
      </w:pPr>
      <w:r>
        <w:rPr>
          <w:b w:val="0"/>
          <w:i w:val="0"/>
          <w:sz w:val="22"/>
          <w:rFonts w:ascii="Arial" w:hAnsi="Arial" w:cs="Arial" w:eastAsia="Arial"/>
          <w:rtl/>
          <w:szCs w:val="22"/>
        </w:rPr>
        <w:t>تنتقل الحقوق على المخرجات إلى الزبون عند الدفع الكامل للثمن. وقبل ذلك لا يجوز للزبون نشرها ولا استغلالها. ويجوز لمقدم الخدمة ذكر المهمة في معرض أعماله ما لم يطلب الزبون كتابيا خلاف ذلك.</w:t>
      </w:r>
    </w:p>
    <w:p>
      <w:pPr>
        <w:bidi/>
        <w:spacing w:before="200" w:after="60"/>
        <w:jc w:val="right"/>
      </w:pPr>
      <w:r>
        <w:rPr>
          <w:b/>
          <w:i w:val="0"/>
          <w:color w:val="0B6B4F"/>
          <w:sz w:val="24"/>
          <w:rFonts w:ascii="Arial" w:hAnsi="Arial" w:cs="Arial" w:eastAsia="Arial"/>
          <w:rtl/>
          <w:szCs w:val="24"/>
          <w:bCs/>
        </w:rPr>
        <w:t>المادة 8. السرية والمعطيات الشخصية</w:t>
      </w:r>
    </w:p>
    <w:p>
      <w:pPr>
        <w:bidi/>
        <w:spacing w:after="100"/>
        <w:jc w:val="right"/>
      </w:pPr>
      <w:r>
        <w:rPr>
          <w:b w:val="0"/>
          <w:i w:val="0"/>
          <w:sz w:val="22"/>
          <w:rFonts w:ascii="Arial" w:hAnsi="Arial" w:cs="Arial" w:eastAsia="Arial"/>
          <w:rtl/>
          <w:szCs w:val="22"/>
        </w:rPr>
        <w:t>يحافظ كل طرف على سرية المعلومات غير العمومية التي يتلقاها من الآخر. وتُعالج المعطيات الشخصية الموكولة إلى مقدم الخدمة طبقا للقانون رقم 18-07 المتعلق بحماية المعطيات ذات الطابع الشخصي.</w:t>
      </w:r>
    </w:p>
    <w:p>
      <w:pPr>
        <w:bidi/>
        <w:spacing w:before="200" w:after="60"/>
        <w:jc w:val="right"/>
      </w:pPr>
      <w:r>
        <w:rPr>
          <w:b/>
          <w:i w:val="0"/>
          <w:color w:val="0B6B4F"/>
          <w:sz w:val="24"/>
          <w:rFonts w:ascii="Arial" w:hAnsi="Arial" w:cs="Arial" w:eastAsia="Arial"/>
          <w:rtl/>
          <w:szCs w:val="24"/>
          <w:bCs/>
        </w:rPr>
        <w:t>المادة 9. القانون المطبق والنزاعات</w:t>
      </w:r>
    </w:p>
    <w:p>
      <w:pPr>
        <w:bidi/>
        <w:spacing w:after="100"/>
        <w:jc w:val="right"/>
      </w:pPr>
      <w:r>
        <w:rPr>
          <w:b w:val="0"/>
          <w:i w:val="0"/>
          <w:sz w:val="22"/>
          <w:rFonts w:ascii="Arial" w:hAnsi="Arial" w:cs="Arial" w:eastAsia="Arial"/>
          <w:rtl/>
          <w:szCs w:val="22"/>
        </w:rPr>
        <w:t>يخضع هذا العقد للقانون الجزائري. وعند الخلاف يسعى الطرفان أولا إلى حل ودي خلال [15] يوما؛ وإلا رُفع الأمر إلى المحكمة المختصة في [المدينة].</w:t>
      </w:r>
    </w:p>
    <w:p>
      <w:pPr>
        <w:bidi/>
        <w:spacing w:before="200" w:after="60"/>
        <w:jc w:val="right"/>
      </w:pPr>
      <w:r>
        <w:rPr>
          <w:b/>
          <w:i w:val="0"/>
          <w:color w:val="0B6B4F"/>
          <w:sz w:val="24"/>
          <w:rFonts w:ascii="Arial" w:hAnsi="Arial" w:cs="Arial" w:eastAsia="Arial"/>
          <w:rtl/>
          <w:szCs w:val="24"/>
          <w:bCs/>
        </w:rPr>
        <w:t>التوقيعات</w:t>
      </w:r>
    </w:p>
    <w:p>
      <w:pPr>
        <w:bidi/>
        <w:spacing w:after="100"/>
        <w:jc w:val="right"/>
      </w:pPr>
      <w:r>
        <w:rPr>
          <w:b w:val="0"/>
          <w:i w:val="0"/>
          <w:sz w:val="22"/>
          <w:rFonts w:ascii="Arial" w:hAnsi="Arial" w:cs="Arial" w:eastAsia="Arial"/>
          <w:rtl/>
          <w:szCs w:val="22"/>
        </w:rPr>
        <w:t>حُرر في [المدينة] بتاريخ [التاريخ] في نسختين أصليتين.</w:t>
      </w:r>
    </w:p>
    <w:tbl>
      <w:tblPr>
        <w:tblStyle w:val="TableGrid"/>
        <w:tblW w:type="auto" w:w="0"/>
        <w:jc w:val="center"/>
        <w:tblLook w:firstColumn="1" w:firstRow="1" w:lastColumn="0" w:lastRow="0" w:noHBand="0" w:noVBand="1" w:val="04A0"/>
        <w:bidiVisual/>
      </w:tblPr>
      <w:tblGrid>
        <w:gridCol w:w="4873"/>
        <w:gridCol w:w="4873"/>
      </w:tblGrid>
      <w:tr>
        <w:tc>
          <w:tcPr>
            <w:tcW w:type="dxa" w:w="4535"/>
          </w:tcPr>
          <w:p>
            <w:pPr>
              <w:bidi/>
              <w:jc w:val="right"/>
            </w:pPr>
            <w:r/>
            <w:r>
              <w:rPr>
                <w:b/>
                <w:i w:val="0"/>
                <w:color w:val="0B6B4F"/>
                <w:sz w:val="20"/>
                <w:rFonts w:ascii="Arial" w:hAnsi="Arial" w:cs="Arial" w:eastAsia="Arial"/>
                <w:rtl/>
                <w:szCs w:val="20"/>
                <w:bCs/>
              </w:rPr>
              <w:t>مقدم الخدمة</w:t>
            </w:r>
          </w:p>
        </w:tc>
        <w:tc>
          <w:tcPr>
            <w:tcW w:type="dxa" w:w="4535"/>
          </w:tcPr>
          <w:p>
            <w:pPr>
              <w:bidi/>
              <w:jc w:val="right"/>
            </w:pPr>
            <w:r/>
            <w:r>
              <w:rPr>
                <w:b/>
                <w:i w:val="0"/>
                <w:color w:val="0B6B4F"/>
                <w:sz w:val="20"/>
                <w:rFonts w:ascii="Arial" w:hAnsi="Arial" w:cs="Arial" w:eastAsia="Arial"/>
                <w:rtl/>
                <w:szCs w:val="20"/>
                <w:bCs/>
              </w:rPr>
              <w:t>الزبون</w:t>
            </w:r>
          </w:p>
        </w:tc>
      </w:tr>
      <w:tr>
        <w:tc>
          <w:tcPr>
            <w:tcW w:type="dxa" w:w="4535"/>
          </w:tcPr>
          <w:p>
            <w:pPr>
              <w:bidi/>
              <w:jc w:val="right"/>
            </w:pPr>
            <w:r/>
            <w:r>
              <w:rPr>
                <w:b w:val="0"/>
                <w:i w:val="0"/>
                <w:sz w:val="20"/>
                <w:rFonts w:ascii="Arial" w:hAnsi="Arial" w:cs="Arial" w:eastAsia="Arial"/>
                <w:rtl/>
                <w:szCs w:val="20"/>
              </w:rPr>
              <w:t>الاسم: [ ]</w:t>
              <w:br/>
              <w:t>التوقيع («قرئ وصودق عليه»):</w:t>
              <w:br/>
              <w:br/>
              <w:br/>
            </w:r>
          </w:p>
        </w:tc>
        <w:tc>
          <w:tcPr>
            <w:tcW w:type="dxa" w:w="4535"/>
          </w:tcPr>
          <w:p>
            <w:pPr>
              <w:bidi/>
              <w:jc w:val="right"/>
            </w:pPr>
            <w:r/>
            <w:r>
              <w:rPr>
                <w:b w:val="0"/>
                <w:i w:val="0"/>
                <w:sz w:val="20"/>
                <w:rFonts w:ascii="Arial" w:hAnsi="Arial" w:cs="Arial" w:eastAsia="Arial"/>
                <w:rtl/>
                <w:szCs w:val="20"/>
              </w:rPr>
              <w:t>الاسم: [ ]</w:t>
              <w:br/>
              <w:t>التوقيع («قرئ وصودق عليه»):</w:t>
              <w:br/>
              <w:br/>
              <w:br/>
            </w:r>
          </w:p>
        </w:tc>
      </w:tr>
    </w:tbl>
    <w:p/>
    <w:p>
      <w:pPr>
        <w:bidi/>
        <w:spacing w:before="200" w:after="60"/>
        <w:jc w:val="right"/>
      </w:pPr>
      <w:r>
        <w:rPr>
          <w:b/>
          <w:i w:val="0"/>
          <w:color w:val="0B6B4F"/>
          <w:sz w:val="24"/>
          <w:rFonts w:ascii="Arial" w:hAnsi="Arial" w:cs="Arial" w:eastAsia="Arial"/>
          <w:rtl/>
          <w:szCs w:val="24"/>
          <w:bCs/>
        </w:rPr>
        <w:t>ملاحظات الاستعمال (تُحذف قبل الإرسال)</w:t>
      </w:r>
    </w:p>
    <w:p>
      <w:pPr>
        <w:bidi/>
        <w:spacing w:after="40"/>
        <w:ind w:right="340"/>
        <w:jc w:val="right"/>
      </w:pPr>
      <w:r>
        <w:rPr>
          <w:b w:val="0"/>
          <w:i w:val="0"/>
          <w:sz w:val="22"/>
          <w:rFonts w:ascii="Arial" w:hAnsi="Arial" w:cs="Arial" w:eastAsia="Arial"/>
          <w:rtl/>
          <w:szCs w:val="22"/>
        </w:rPr>
        <w:t>- المادة 5: يمكن للقاضي أن يخفض التعويض المتفق عليه مسبقا إذا كان مبالغا فيه (المادة 184 من القانون المدني). فاحرص على أرقام معتدلة.</w:t>
      </w:r>
    </w:p>
    <w:p>
      <w:pPr>
        <w:bidi/>
        <w:spacing w:after="40"/>
        <w:ind w:right="340"/>
        <w:jc w:val="right"/>
      </w:pPr>
      <w:r>
        <w:rPr>
          <w:b w:val="0"/>
          <w:i w:val="0"/>
          <w:sz w:val="22"/>
          <w:rFonts w:ascii="Arial" w:hAnsi="Arial" w:cs="Arial" w:eastAsia="Arial"/>
          <w:rtl/>
          <w:szCs w:val="22"/>
        </w:rPr>
        <w:t>- المادة 6: يتيح القانون المدني لصاحب العمل إنهاء عقد المقاولة قبل إتمامه مع تعويض المقاول (المادة 566)؛ والبند يحدد المبلغ مسبقا.</w:t>
      </w:r>
    </w:p>
    <w:p>
      <w:pPr>
        <w:bidi/>
        <w:spacing w:after="40"/>
        <w:ind w:right="340"/>
        <w:jc w:val="right"/>
      </w:pPr>
      <w:r>
        <w:rPr>
          <w:b w:val="0"/>
          <w:i w:val="0"/>
          <w:sz w:val="22"/>
          <w:rFonts w:ascii="Arial" w:hAnsi="Arial" w:cs="Arial" w:eastAsia="Arial"/>
          <w:rtl/>
          <w:szCs w:val="22"/>
        </w:rPr>
        <w:t>- النسب والآجال بين المعقوفين أمثلة للتعديل وليست قيما مفروضة.</w:t>
      </w:r>
    </w:p>
    <w:p>
      <w:pPr>
        <w:bidi/>
        <w:jc w:val="right"/>
      </w:pPr>
      <w:r>
        <w:rPr>
          <w:b w:val="0"/>
          <w:i/>
          <w:color w:val="888888"/>
          <w:sz w:val="17"/>
          <w:rFonts w:ascii="Arial" w:hAnsi="Arial" w:cs="Arial" w:eastAsia="Arial"/>
          <w:rtl/>
          <w:szCs w:val="17.0"/>
        </w:rPr>
        <w:t>نموذج مقدم من bizalgeria.com على سبيل الاسترشاد، نسخة 29 أكتوبر 2026. ليس استشارة قانونية: اعرضه على محام قبل استعماله. استبدل كل ما بين المعقوفين.</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