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b/>
          <w:i w:val="0"/>
          <w:color w:val="0B6B4F"/>
          <w:sz w:val="36"/>
          <w:rFonts w:ascii="Arial" w:hAnsi="Arial" w:cs="Arial" w:eastAsia="Arial"/>
        </w:rPr>
        <w:t>Service agreement (freelance template)</w:t>
      </w:r>
    </w:p>
    <w:p>
      <w:pPr>
        <w:spacing w:before="200" w:after="60"/>
      </w:pPr>
      <w:r>
        <w:rPr>
          <w:b/>
          <w:i w:val="0"/>
          <w:color w:val="0B6B4F"/>
          <w:sz w:val="24"/>
          <w:rFonts w:ascii="Arial" w:hAnsi="Arial" w:cs="Arial" w:eastAsia="Arial"/>
        </w:rPr>
        <w:t>Between the undersigned</w:t>
      </w:r>
    </w:p>
    <w:p>
      <w:pPr>
        <w:spacing w:after="100"/>
      </w:pPr>
      <w:r>
        <w:rPr>
          <w:b w:val="0"/>
          <w:i w:val="0"/>
          <w:sz w:val="22"/>
          <w:rFonts w:ascii="Arial" w:hAnsi="Arial" w:cs="Arial" w:eastAsia="Arial"/>
        </w:rPr>
        <w:t>The provider: [full name], auto-entrepreneur, ANAE card no. [number], activity [code and title], NIF [number], address [address], phone [number], email [address], “the Provider”.</w:t>
      </w:r>
    </w:p>
    <w:p>
      <w:pPr>
        <w:spacing w:after="100"/>
      </w:pPr>
      <w:r>
        <w:rPr>
          <w:b w:val="0"/>
          <w:i w:val="0"/>
          <w:sz w:val="22"/>
          <w:rFonts w:ascii="Arial" w:hAnsi="Arial" w:cs="Arial" w:eastAsia="Arial"/>
        </w:rPr>
        <w:t>The client: [company name or name], represented by [name and position], commercial register no. [number] / NIF [number], address [address], “the Client”.</w:t>
      </w:r>
    </w:p>
    <w:p>
      <w:pPr>
        <w:spacing w:before="200" w:after="60"/>
      </w:pPr>
      <w:r>
        <w:rPr>
          <w:b/>
          <w:i w:val="0"/>
          <w:color w:val="0B6B4F"/>
          <w:sz w:val="24"/>
          <w:rFonts w:ascii="Arial" w:hAnsi="Arial" w:cs="Arial" w:eastAsia="Arial"/>
        </w:rPr>
        <w:t>Article 1. Purpose</w:t>
      </w:r>
    </w:p>
    <w:p>
      <w:pPr>
        <w:spacing w:after="100"/>
      </w:pPr>
      <w:r>
        <w:rPr>
          <w:b w:val="0"/>
          <w:i w:val="0"/>
          <w:sz w:val="22"/>
          <w:rFonts w:ascii="Arial" w:hAnsi="Arial" w:cs="Arial" w:eastAsia="Arial"/>
        </w:rPr>
        <w:t>The Provider carries out the following assignment for the Client: [precise description]. Deliverables: [list]. Not included: [list].</w:t>
      </w:r>
    </w:p>
    <w:p>
      <w:pPr>
        <w:spacing w:before="200" w:after="60"/>
      </w:pPr>
      <w:r>
        <w:rPr>
          <w:b/>
          <w:i w:val="0"/>
          <w:color w:val="0B6B4F"/>
          <w:sz w:val="24"/>
          <w:rFonts w:ascii="Arial" w:hAnsi="Arial" w:cs="Arial" w:eastAsia="Arial"/>
        </w:rPr>
        <w:t>Article 2. Timeline</w:t>
      </w:r>
    </w:p>
    <w:p>
      <w:pPr>
        <w:spacing w:after="100"/>
      </w:pPr>
      <w:r>
        <w:rPr>
          <w:b w:val="0"/>
          <w:i w:val="0"/>
          <w:sz w:val="22"/>
          <w:rFonts w:ascii="Arial" w:hAnsi="Arial" w:cs="Arial" w:eastAsia="Arial"/>
        </w:rPr>
        <w:t>The assignment starts on [date], once the deposit and the material to be supplied by the Client have been received. Delivery: [date or duration]. The Client supplies [content, access, feedback] within [5] working days; each day of Client delay pushes the Provider’s deadlines back by the same amount.</w:t>
      </w:r>
    </w:p>
    <w:p>
      <w:pPr>
        <w:spacing w:before="200" w:after="60"/>
      </w:pPr>
      <w:r>
        <w:rPr>
          <w:b/>
          <w:i w:val="0"/>
          <w:color w:val="0B6B4F"/>
          <w:sz w:val="24"/>
          <w:rFonts w:ascii="Arial" w:hAnsi="Arial" w:cs="Arial" w:eastAsia="Arial"/>
        </w:rPr>
        <w:t>Article 3. Price and payment</w:t>
      </w:r>
    </w:p>
    <w:p>
      <w:pPr>
        <w:spacing w:after="100"/>
      </w:pPr>
      <w:r>
        <w:rPr>
          <w:b w:val="0"/>
          <w:i w:val="0"/>
          <w:sz w:val="22"/>
          <w:rFonts w:ascii="Arial" w:hAnsi="Arial" w:cs="Arial" w:eastAsia="Arial"/>
        </w:rPr>
        <w:t>Fixed price: [amount] DZD, [net / before tax]. Deposit of [30]% on signing, that is [amount] DZD. Balance: [amount] DZD on delivery [or by schedule: …]. Each invoice is payable within [15] days of its date, by [bank transfer / cheque / cash against a receipt].</w:t>
      </w:r>
    </w:p>
    <w:p>
      <w:pPr>
        <w:spacing w:before="200" w:after="60"/>
      </w:pPr>
      <w:r>
        <w:rPr>
          <w:b/>
          <w:i w:val="0"/>
          <w:color w:val="0B6B4F"/>
          <w:sz w:val="24"/>
          <w:rFonts w:ascii="Arial" w:hAnsi="Arial" w:cs="Arial" w:eastAsia="Arial"/>
        </w:rPr>
        <w:t>Article 4. Changes</w:t>
      </w:r>
    </w:p>
    <w:p>
      <w:pPr>
        <w:spacing w:after="100"/>
      </w:pPr>
      <w:r>
        <w:rPr>
          <w:b w:val="0"/>
          <w:i w:val="0"/>
          <w:sz w:val="22"/>
          <w:rFonts w:ascii="Arial" w:hAnsi="Arial" w:cs="Arial" w:eastAsia="Arial"/>
        </w:rPr>
        <w:t>Any request outside Article 1 is covered by a written quote, signed before work starts. The price includes [2] rounds of corrections; further rounds are billed at [amount or hourly rate].</w:t>
      </w:r>
    </w:p>
    <w:p>
      <w:pPr>
        <w:spacing w:before="200" w:after="60"/>
      </w:pPr>
      <w:r>
        <w:rPr>
          <w:b/>
          <w:i w:val="0"/>
          <w:color w:val="0B6B4F"/>
          <w:sz w:val="24"/>
          <w:rFonts w:ascii="Arial" w:hAnsi="Arial" w:cs="Arial" w:eastAsia="Arial"/>
        </w:rPr>
        <w:t>Article 5. Late payment</w:t>
      </w:r>
    </w:p>
    <w:p>
      <w:pPr>
        <w:spacing w:after="100"/>
      </w:pPr>
      <w:r>
        <w:rPr>
          <w:b w:val="0"/>
          <w:i w:val="0"/>
          <w:sz w:val="22"/>
          <w:rFonts w:ascii="Arial" w:hAnsi="Arial" w:cs="Arial" w:eastAsia="Arial"/>
        </w:rPr>
        <w:t>The Client is put in default by the due date of each invoice alone, with no further formality. Any sum unpaid at the due date automatically gives rise to a fixed late-payment compensation of [1]% of the unpaid amount for each week of delay begun, capped at [10]% of the invoice amount.</w:t>
      </w:r>
    </w:p>
    <w:p>
      <w:pPr>
        <w:spacing w:after="100"/>
      </w:pPr>
      <w:r>
        <w:rPr>
          <w:b w:val="0"/>
          <w:i w:val="0"/>
          <w:sz w:val="22"/>
          <w:rFonts w:ascii="Arial" w:hAnsi="Arial" w:cs="Arial" w:eastAsia="Arial"/>
        </w:rPr>
        <w:t>After [7] days of written notice without effect, the Provider may suspend the work; delivery deadlines are then suspended until payment.</w:t>
      </w:r>
    </w:p>
    <w:p>
      <w:pPr>
        <w:spacing w:before="200" w:after="60"/>
      </w:pPr>
      <w:r>
        <w:rPr>
          <w:b/>
          <w:i w:val="0"/>
          <w:color w:val="0B6B4F"/>
          <w:sz w:val="24"/>
          <w:rFonts w:ascii="Arial" w:hAnsi="Arial" w:cs="Arial" w:eastAsia="Arial"/>
        </w:rPr>
        <w:t>Article 6. Early termination</w:t>
      </w:r>
    </w:p>
    <w:p>
      <w:pPr>
        <w:spacing w:after="100"/>
      </w:pPr>
      <w:r>
        <w:rPr>
          <w:b w:val="0"/>
          <w:i w:val="0"/>
          <w:sz w:val="22"/>
          <w:rFonts w:ascii="Arial" w:hAnsi="Arial" w:cs="Arial" w:eastAsia="Arial"/>
        </w:rPr>
        <w:t>The Client may end the assignment before its end, in writing. It then pays for the work already done, the costs incurred and [20]% of the remaining balance. The Provider may terminate if an invoice stays unpaid [30] days after a written formal notice.</w:t>
      </w:r>
    </w:p>
    <w:p>
      <w:pPr>
        <w:spacing w:before="200" w:after="60"/>
      </w:pPr>
      <w:r>
        <w:rPr>
          <w:b/>
          <w:i w:val="0"/>
          <w:color w:val="0B6B4F"/>
          <w:sz w:val="24"/>
          <w:rFonts w:ascii="Arial" w:hAnsi="Arial" w:cs="Arial" w:eastAsia="Arial"/>
        </w:rPr>
        <w:t>Article 7. Intellectual property</w:t>
      </w:r>
    </w:p>
    <w:p>
      <w:pPr>
        <w:spacing w:after="100"/>
      </w:pPr>
      <w:r>
        <w:rPr>
          <w:b w:val="0"/>
          <w:i w:val="0"/>
          <w:sz w:val="22"/>
          <w:rFonts w:ascii="Arial" w:hAnsi="Arial" w:cs="Arial" w:eastAsia="Arial"/>
        </w:rPr>
        <w:t>Rights in the deliverables pass to the Client on full payment of the price. Until then, the Client may neither publish nor use them. The Provider may mention the assignment in a portfolio unless the Client asks otherwise in writing.</w:t>
      </w:r>
    </w:p>
    <w:p>
      <w:pPr>
        <w:spacing w:before="200" w:after="60"/>
      </w:pPr>
      <w:r>
        <w:rPr>
          <w:b/>
          <w:i w:val="0"/>
          <w:color w:val="0B6B4F"/>
          <w:sz w:val="24"/>
          <w:rFonts w:ascii="Arial" w:hAnsi="Arial" w:cs="Arial" w:eastAsia="Arial"/>
        </w:rPr>
        <w:t>Article 8. Confidentiality and personal data</w:t>
      </w:r>
    </w:p>
    <w:p>
      <w:pPr>
        <w:spacing w:after="100"/>
      </w:pPr>
      <w:r>
        <w:rPr>
          <w:b w:val="0"/>
          <w:i w:val="0"/>
          <w:sz w:val="22"/>
          <w:rFonts w:ascii="Arial" w:hAnsi="Arial" w:cs="Arial" w:eastAsia="Arial"/>
        </w:rPr>
        <w:t>Each party keeps confidential the non-public information received from the other. Personal data entrusted to the Provider is processed in accordance with Law no. 18-07 on personal data protection.</w:t>
      </w:r>
    </w:p>
    <w:p>
      <w:pPr>
        <w:spacing w:before="200" w:after="60"/>
      </w:pPr>
      <w:r>
        <w:rPr>
          <w:b/>
          <w:i w:val="0"/>
          <w:color w:val="0B6B4F"/>
          <w:sz w:val="24"/>
          <w:rFonts w:ascii="Arial" w:hAnsi="Arial" w:cs="Arial" w:eastAsia="Arial"/>
        </w:rPr>
        <w:t>Article 9. Governing law and disputes</w:t>
      </w:r>
    </w:p>
    <w:p>
      <w:pPr>
        <w:spacing w:after="100"/>
      </w:pPr>
      <w:r>
        <w:rPr>
          <w:b w:val="0"/>
          <w:i w:val="0"/>
          <w:sz w:val="22"/>
          <w:rFonts w:ascii="Arial" w:hAnsi="Arial" w:cs="Arial" w:eastAsia="Arial"/>
        </w:rPr>
        <w:t>This agreement is governed by Algerian law. In case of disagreement, the parties first seek an amicable solution for [15] days; failing that, the competent court of [city] hears the case.</w:t>
      </w:r>
    </w:p>
    <w:p>
      <w:pPr>
        <w:spacing w:before="200" w:after="60"/>
      </w:pPr>
      <w:r>
        <w:rPr>
          <w:b/>
          <w:i w:val="0"/>
          <w:color w:val="0B6B4F"/>
          <w:sz w:val="24"/>
          <w:rFonts w:ascii="Arial" w:hAnsi="Arial" w:cs="Arial" w:eastAsia="Arial"/>
        </w:rPr>
        <w:t>Signatures</w:t>
      </w:r>
    </w:p>
    <w:p>
      <w:pPr>
        <w:spacing w:after="100"/>
      </w:pPr>
      <w:r>
        <w:rPr>
          <w:b w:val="0"/>
          <w:i w:val="0"/>
          <w:sz w:val="22"/>
          <w:rFonts w:ascii="Arial" w:hAnsi="Arial" w:cs="Arial" w:eastAsia="Arial"/>
        </w:rPr>
        <w:t>Done at [city], on [date], in two original copies.</w:t>
      </w:r>
    </w:p>
    <w:tbl>
      <w:tblPr>
        <w:tblStyle w:val="TableGrid"/>
        <w:tblW w:type="auto" w:w="0"/>
        <w:jc w:val="center"/>
        <w:tblLook w:firstColumn="1" w:firstRow="1" w:lastColumn="0" w:lastRow="0" w:noHBand="0" w:noVBand="1" w:val="04A0"/>
      </w:tblPr>
      <w:tblGrid>
        <w:gridCol w:w="4873"/>
        <w:gridCol w:w="4873"/>
      </w:tblGrid>
      <w:tr>
        <w:tc>
          <w:tcPr>
            <w:tcW w:type="dxa" w:w="4535"/>
          </w:tcPr>
          <w:p>
            <w:r/>
            <w:r>
              <w:rPr>
                <w:b/>
                <w:i w:val="0"/>
                <w:color w:val="0B6B4F"/>
                <w:sz w:val="20"/>
                <w:rFonts w:ascii="Arial" w:hAnsi="Arial" w:cs="Arial" w:eastAsia="Arial"/>
              </w:rPr>
              <w:t>The Provider</w:t>
            </w:r>
          </w:p>
        </w:tc>
        <w:tc>
          <w:tcPr>
            <w:tcW w:type="dxa" w:w="4535"/>
          </w:tcPr>
          <w:p>
            <w:r/>
            <w:r>
              <w:rPr>
                <w:b/>
                <w:i w:val="0"/>
                <w:color w:val="0B6B4F"/>
                <w:sz w:val="20"/>
                <w:rFonts w:ascii="Arial" w:hAnsi="Arial" w:cs="Arial" w:eastAsia="Arial"/>
              </w:rPr>
              <w:t>The Client</w:t>
            </w:r>
          </w:p>
        </w:tc>
      </w:tr>
      <w:tr>
        <w:tc>
          <w:tcPr>
            <w:tcW w:type="dxa" w:w="4535"/>
          </w:tcPr>
          <w:p>
            <w:r/>
            <w:r>
              <w:rPr>
                <w:b w:val="0"/>
                <w:i w:val="0"/>
                <w:sz w:val="20"/>
                <w:rFonts w:ascii="Arial" w:hAnsi="Arial" w:cs="Arial" w:eastAsia="Arial"/>
              </w:rPr>
              <w:t>Name: [ ]</w:t>
              <w:br/>
              <w:t>Signature (“read and approved”):</w:t>
              <w:br/>
              <w:br/>
              <w:br/>
            </w:r>
          </w:p>
        </w:tc>
        <w:tc>
          <w:tcPr>
            <w:tcW w:type="dxa" w:w="4535"/>
          </w:tcPr>
          <w:p>
            <w:r/>
            <w:r>
              <w:rPr>
                <w:b w:val="0"/>
                <w:i w:val="0"/>
                <w:sz w:val="20"/>
                <w:rFonts w:ascii="Arial" w:hAnsi="Arial" w:cs="Arial" w:eastAsia="Arial"/>
              </w:rPr>
              <w:t>Name: [ ]</w:t>
              <w:br/>
              <w:t>Signature (“read and approved”):</w:t>
              <w:br/>
              <w:br/>
              <w:br/>
            </w:r>
          </w:p>
        </w:tc>
      </w:tr>
    </w:tbl>
    <w:p/>
    <w:p>
      <w:pPr>
        <w:spacing w:before="200" w:after="60"/>
      </w:pPr>
      <w:r>
        <w:rPr>
          <w:b/>
          <w:i w:val="0"/>
          <w:color w:val="0B6B4F"/>
          <w:sz w:val="24"/>
          <w:rFonts w:ascii="Arial" w:hAnsi="Arial" w:cs="Arial" w:eastAsia="Arial"/>
        </w:rPr>
        <w:t>Notes for use (delete before sending)</w:t>
      </w:r>
    </w:p>
    <w:p>
      <w:pPr>
        <w:spacing w:after="40"/>
        <w:ind w:left="340"/>
      </w:pPr>
      <w:r>
        <w:rPr>
          <w:b w:val="0"/>
          <w:i w:val="0"/>
          <w:sz w:val="22"/>
          <w:rFonts w:ascii="Arial" w:hAnsi="Arial" w:cs="Arial" w:eastAsia="Arial"/>
        </w:rPr>
        <w:t>- Article 5: a judge can reduce a pre-agreed compensation if it is excessive (art. 184 of the Civil Code). Keep the figures modest.</w:t>
      </w:r>
    </w:p>
    <w:p>
      <w:pPr>
        <w:spacing w:after="40"/>
        <w:ind w:left="340"/>
      </w:pPr>
      <w:r>
        <w:rPr>
          <w:b w:val="0"/>
          <w:i w:val="0"/>
          <w:sz w:val="22"/>
          <w:rFonts w:ascii="Arial" w:hAnsi="Arial" w:cs="Arial" w:eastAsia="Arial"/>
        </w:rPr>
        <w:t>- Article 6: the Civil Code lets a client end a works contract before completion by compensating the provider (art. 566); the clause fixes the amount in advance.</w:t>
      </w:r>
    </w:p>
    <w:p>
      <w:pPr>
        <w:spacing w:after="40"/>
        <w:ind w:left="340"/>
      </w:pPr>
      <w:r>
        <w:rPr>
          <w:b w:val="0"/>
          <w:i w:val="0"/>
          <w:sz w:val="22"/>
          <w:rFonts w:ascii="Arial" w:hAnsi="Arial" w:cs="Arial" w:eastAsia="Arial"/>
        </w:rPr>
        <w:t>- Percentages and deadlines in brackets are examples to adapt, not required values.</w:t>
      </w:r>
    </w:p>
    <w:p>
      <w:r>
        <w:rPr>
          <w:b w:val="0"/>
          <w:i/>
          <w:color w:val="888888"/>
          <w:sz w:val="17"/>
          <w:rFonts w:ascii="Arial" w:hAnsi="Arial" w:cs="Arial" w:eastAsia="Arial"/>
        </w:rPr>
        <w:t>Template provided by bizalgeria.com for guidance, version of 29 October 2026. It is not legal advice: have a lawyer read it before you use it. Replace everything in square brackets.</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