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b/>
          <w:i w:val="0"/>
          <w:color w:val="0B6B4F"/>
          <w:sz w:val="36"/>
          <w:rFonts w:ascii="Arial" w:hAnsi="Arial" w:cs="Arial" w:eastAsia="Arial"/>
        </w:rPr>
        <w:t>Brief de contenu et contrat de création (UGC) : modèle</w:t>
      </w:r>
    </w:p>
    <w:p>
      <w:pPr>
        <w:spacing w:after="100"/>
      </w:pPr>
      <w:r>
        <w:rPr>
          <w:b w:val="0"/>
          <w:i w:val="0"/>
          <w:sz w:val="22"/>
          <w:rFonts w:ascii="Arial" w:hAnsi="Arial" w:cs="Arial" w:eastAsia="Arial"/>
        </w:rPr>
        <w:t>Modèle en deux parties : A. le brief (ce que l’on attend), B. le contrat (les droits et le paiement). Remplacez ce qui est entre crochets. Les renvois « ord. 03-05 » visent l’ordonnance n° 03-05 du 19 juillet 2003 relative aux droits d’auteur et aux droits voisins.</w:t>
      </w:r>
    </w:p>
    <w:p>
      <w:pPr>
        <w:spacing w:before="200" w:after="60"/>
      </w:pPr>
      <w:r>
        <w:rPr>
          <w:b/>
          <w:i w:val="0"/>
          <w:color w:val="0B6B4F"/>
          <w:sz w:val="24"/>
          <w:rFonts w:ascii="Arial" w:hAnsi="Arial" w:cs="Arial" w:eastAsia="Arial"/>
        </w:rPr>
        <w:t>A. Brief</w:t>
      </w:r>
    </w:p>
    <w:tbl>
      <w:tblPr>
        <w:tblStyle w:val="TableGrid"/>
        <w:tblW w:type="auto" w:w="0"/>
        <w:jc w:val="center"/>
        <w:tblLook w:firstColumn="1" w:firstRow="1" w:lastColumn="0" w:lastRow="0" w:noHBand="0" w:noVBand="1" w:val="04A0"/>
      </w:tblPr>
      <w:tblGrid>
        <w:gridCol w:w="4873"/>
        <w:gridCol w:w="4873"/>
      </w:tblGrid>
      <w:tr>
        <w:tc>
          <w:tcPr>
            <w:tcW w:type="dxa" w:w="2835"/>
          </w:tcPr>
          <w:p>
            <w:r/>
            <w:r>
              <w:rPr>
                <w:b/>
                <w:i w:val="0"/>
                <w:color w:val="0B6B4F"/>
                <w:sz w:val="20"/>
                <w:rFonts w:ascii="Arial" w:hAnsi="Arial" w:cs="Arial" w:eastAsia="Arial"/>
              </w:rPr>
              <w:t>Marque / annonceur</w:t>
            </w:r>
          </w:p>
        </w:tc>
        <w:tc>
          <w:tcPr>
            <w:tcW w:type="dxa" w:w="6236"/>
          </w:tcPr>
          <w:p>
            <w:r/>
            <w:r>
              <w:rPr>
                <w:b/>
                <w:i w:val="0"/>
                <w:color w:val="0B6B4F"/>
                <w:sz w:val="20"/>
                <w:rFonts w:ascii="Arial" w:hAnsi="Arial" w:cs="Arial" w:eastAsia="Arial"/>
              </w:rPr>
              <w:t>[nom, coordonnées]</w:t>
            </w:r>
          </w:p>
        </w:tc>
      </w:tr>
      <w:tr>
        <w:tc>
          <w:tcPr>
            <w:tcW w:type="dxa" w:w="2835"/>
          </w:tcPr>
          <w:p>
            <w:r/>
            <w:r>
              <w:rPr>
                <w:b w:val="0"/>
                <w:i w:val="0"/>
                <w:sz w:val="20"/>
                <w:rFonts w:ascii="Arial" w:hAnsi="Arial" w:cs="Arial" w:eastAsia="Arial"/>
              </w:rPr>
              <w:t>Créateur</w:t>
            </w:r>
          </w:p>
        </w:tc>
        <w:tc>
          <w:tcPr>
            <w:tcW w:type="dxa" w:w="6236"/>
          </w:tcPr>
          <w:p>
            <w:r/>
            <w:r>
              <w:rPr>
                <w:b w:val="0"/>
                <w:i w:val="0"/>
                <w:sz w:val="20"/>
                <w:rFonts w:ascii="Arial" w:hAnsi="Arial" w:cs="Arial" w:eastAsia="Arial"/>
              </w:rPr>
              <w:t>[nom ou pseudonyme]</w:t>
            </w:r>
          </w:p>
        </w:tc>
      </w:tr>
      <w:tr>
        <w:tc>
          <w:tcPr>
            <w:tcW w:type="dxa" w:w="2835"/>
          </w:tcPr>
          <w:p>
            <w:r/>
            <w:r>
              <w:rPr>
                <w:b w:val="0"/>
                <w:i w:val="0"/>
                <w:sz w:val="20"/>
                <w:rFonts w:ascii="Arial" w:hAnsi="Arial" w:cs="Arial" w:eastAsia="Arial"/>
              </w:rPr>
              <w:t>Produit</w:t>
            </w:r>
          </w:p>
        </w:tc>
        <w:tc>
          <w:tcPr>
            <w:tcW w:type="dxa" w:w="6236"/>
          </w:tcPr>
          <w:p>
            <w:r/>
            <w:r>
              <w:rPr>
                <w:b w:val="0"/>
                <w:i w:val="0"/>
                <w:sz w:val="20"/>
                <w:rFonts w:ascii="Arial" w:hAnsi="Arial" w:cs="Arial" w:eastAsia="Arial"/>
              </w:rPr>
              <w:t>[nom, prix toutes taxes comprises, disponibilité]</w:t>
            </w:r>
          </w:p>
        </w:tc>
      </w:tr>
      <w:tr>
        <w:tc>
          <w:tcPr>
            <w:tcW w:type="dxa" w:w="2835"/>
          </w:tcPr>
          <w:p>
            <w:r/>
            <w:r>
              <w:rPr>
                <w:b w:val="0"/>
                <w:i w:val="0"/>
                <w:sz w:val="20"/>
                <w:rFonts w:ascii="Arial" w:hAnsi="Arial" w:cs="Arial" w:eastAsia="Arial"/>
              </w:rPr>
              <w:t>Objectif de la vidéo</w:t>
            </w:r>
          </w:p>
        </w:tc>
        <w:tc>
          <w:tcPr>
            <w:tcW w:type="dxa" w:w="6236"/>
          </w:tcPr>
          <w:p>
            <w:r/>
            <w:r>
              <w:rPr>
                <w:b w:val="0"/>
                <w:i w:val="0"/>
                <w:sz w:val="20"/>
                <w:rFonts w:ascii="Arial" w:hAnsi="Arial" w:cs="Arial" w:eastAsia="Arial"/>
              </w:rPr>
              <w:t>[ex. : montrer le produit en usage réel]</w:t>
            </w:r>
          </w:p>
        </w:tc>
      </w:tr>
      <w:tr>
        <w:tc>
          <w:tcPr>
            <w:tcW w:type="dxa" w:w="2835"/>
          </w:tcPr>
          <w:p>
            <w:r/>
            <w:r>
              <w:rPr>
                <w:b w:val="0"/>
                <w:i w:val="0"/>
                <w:sz w:val="20"/>
                <w:rFonts w:ascii="Arial" w:hAnsi="Arial" w:cs="Arial" w:eastAsia="Arial"/>
              </w:rPr>
              <w:t>Message clé (une seule phrase)</w:t>
            </w:r>
          </w:p>
        </w:tc>
        <w:tc>
          <w:tcPr>
            <w:tcW w:type="dxa" w:w="6236"/>
          </w:tcPr>
          <w:p>
            <w:r/>
            <w:r>
              <w:rPr>
                <w:b w:val="0"/>
                <w:i w:val="0"/>
                <w:sz w:val="20"/>
                <w:rFonts w:ascii="Arial" w:hAnsi="Arial" w:cs="Arial" w:eastAsia="Arial"/>
              </w:rPr>
              <w:t>[phrase]</w:t>
            </w:r>
          </w:p>
        </w:tc>
      </w:tr>
      <w:tr>
        <w:tc>
          <w:tcPr>
            <w:tcW w:type="dxa" w:w="2835"/>
          </w:tcPr>
          <w:p>
            <w:r/>
            <w:r>
              <w:rPr>
                <w:b w:val="0"/>
                <w:i w:val="0"/>
                <w:sz w:val="20"/>
                <w:rFonts w:ascii="Arial" w:hAnsi="Arial" w:cs="Arial" w:eastAsia="Arial"/>
              </w:rPr>
              <w:t>Format</w:t>
            </w:r>
          </w:p>
        </w:tc>
        <w:tc>
          <w:tcPr>
            <w:tcW w:type="dxa" w:w="6236"/>
          </w:tcPr>
          <w:p>
            <w:r/>
            <w:r>
              <w:rPr>
                <w:b w:val="0"/>
                <w:i w:val="0"/>
                <w:sz w:val="20"/>
                <w:rFonts w:ascii="Arial" w:hAnsi="Arial" w:cs="Arial" w:eastAsia="Arial"/>
              </w:rPr>
              <w:t>[ex. : vertical 9:16, 20 à 30 secondes, langue : français, arabe ou darija]</w:t>
            </w:r>
          </w:p>
        </w:tc>
      </w:tr>
      <w:tr>
        <w:tc>
          <w:tcPr>
            <w:tcW w:type="dxa" w:w="2835"/>
          </w:tcPr>
          <w:p>
            <w:r/>
            <w:r>
              <w:rPr>
                <w:b w:val="0"/>
                <w:i w:val="0"/>
                <w:sz w:val="20"/>
                <w:rFonts w:ascii="Arial" w:hAnsi="Arial" w:cs="Arial" w:eastAsia="Arial"/>
              </w:rPr>
              <w:t>Éléments obligatoires</w:t>
            </w:r>
          </w:p>
        </w:tc>
        <w:tc>
          <w:tcPr>
            <w:tcW w:type="dxa" w:w="6236"/>
          </w:tcPr>
          <w:p>
            <w:r/>
            <w:r>
              <w:rPr>
                <w:b w:val="0"/>
                <w:i w:val="0"/>
                <w:sz w:val="20"/>
                <w:rFonts w:ascii="Arial" w:hAnsi="Arial" w:cs="Arial" w:eastAsia="Arial"/>
              </w:rPr>
              <w:t>[produit visible dans les 3 premières secondes ; mention « Publicité » ou « Partenariat rémunéré » ; appel à l’action]</w:t>
            </w:r>
          </w:p>
        </w:tc>
      </w:tr>
      <w:tr>
        <w:tc>
          <w:tcPr>
            <w:tcW w:type="dxa" w:w="2835"/>
          </w:tcPr>
          <w:p>
            <w:r/>
            <w:r>
              <w:rPr>
                <w:b w:val="0"/>
                <w:i w:val="0"/>
                <w:sz w:val="20"/>
                <w:rFonts w:ascii="Arial" w:hAnsi="Arial" w:cs="Arial" w:eastAsia="Arial"/>
              </w:rPr>
              <w:t>À éviter</w:t>
            </w:r>
          </w:p>
        </w:tc>
        <w:tc>
          <w:tcPr>
            <w:tcW w:type="dxa" w:w="6236"/>
          </w:tcPr>
          <w:p>
            <w:r/>
            <w:r>
              <w:rPr>
                <w:b w:val="0"/>
                <w:i w:val="0"/>
                <w:sz w:val="20"/>
                <w:rFonts w:ascii="Arial" w:hAnsi="Arial" w:cs="Arial" w:eastAsia="Arial"/>
              </w:rPr>
              <w:t>[promesses de santé ou de résultats garantis ; avant/après ; comparaison avec une marque nommée ; musique sans licence ; propos sur les caractéristiques personnelles du spectateur]</w:t>
            </w:r>
          </w:p>
        </w:tc>
      </w:tr>
      <w:tr>
        <w:tc>
          <w:tcPr>
            <w:tcW w:type="dxa" w:w="2835"/>
          </w:tcPr>
          <w:p>
            <w:r/>
            <w:r>
              <w:rPr>
                <w:b w:val="0"/>
                <w:i w:val="0"/>
                <w:sz w:val="20"/>
                <w:rFonts w:ascii="Arial" w:hAnsi="Arial" w:cs="Arial" w:eastAsia="Arial"/>
              </w:rPr>
              <w:t>Livrables</w:t>
            </w:r>
          </w:p>
        </w:tc>
        <w:tc>
          <w:tcPr>
            <w:tcW w:type="dxa" w:w="6236"/>
          </w:tcPr>
          <w:p>
            <w:r/>
            <w:r>
              <w:rPr>
                <w:b w:val="0"/>
                <w:i w:val="0"/>
                <w:sz w:val="20"/>
                <w:rFonts w:ascii="Arial" w:hAnsi="Arial" w:cs="Arial" w:eastAsia="Arial"/>
              </w:rPr>
              <w:t>[nombre de vidéos, fichiers bruts oui/non, sous-titres oui/non]</w:t>
            </w:r>
          </w:p>
        </w:tc>
      </w:tr>
      <w:tr>
        <w:tc>
          <w:tcPr>
            <w:tcW w:type="dxa" w:w="2835"/>
          </w:tcPr>
          <w:p>
            <w:r/>
            <w:r>
              <w:rPr>
                <w:b w:val="0"/>
                <w:i w:val="0"/>
                <w:sz w:val="20"/>
                <w:rFonts w:ascii="Arial" w:hAnsi="Arial" w:cs="Arial" w:eastAsia="Arial"/>
              </w:rPr>
              <w:t>Dates</w:t>
            </w:r>
          </w:p>
        </w:tc>
        <w:tc>
          <w:tcPr>
            <w:tcW w:type="dxa" w:w="6236"/>
          </w:tcPr>
          <w:p>
            <w:r/>
            <w:r>
              <w:rPr>
                <w:b w:val="0"/>
                <w:i w:val="0"/>
                <w:sz w:val="20"/>
                <w:rFonts w:ascii="Arial" w:hAnsi="Arial" w:cs="Arial" w:eastAsia="Arial"/>
              </w:rPr>
              <w:t>[remise du premier jet ; retours du client ; livraison finale]</w:t>
            </w:r>
          </w:p>
        </w:tc>
      </w:tr>
      <w:tr>
        <w:tc>
          <w:tcPr>
            <w:tcW w:type="dxa" w:w="2835"/>
          </w:tcPr>
          <w:p>
            <w:r/>
            <w:r>
              <w:rPr>
                <w:b w:val="0"/>
                <w:i w:val="0"/>
                <w:sz w:val="20"/>
                <w:rFonts w:ascii="Arial" w:hAnsi="Arial" w:cs="Arial" w:eastAsia="Arial"/>
              </w:rPr>
              <w:t>Corrections</w:t>
            </w:r>
          </w:p>
        </w:tc>
        <w:tc>
          <w:tcPr>
            <w:tcW w:type="dxa" w:w="6236"/>
          </w:tcPr>
          <w:p>
            <w:r/>
            <w:r>
              <w:rPr>
                <w:b w:val="0"/>
                <w:i w:val="0"/>
                <w:sz w:val="20"/>
                <w:rFonts w:ascii="Arial" w:hAnsi="Arial" w:cs="Arial" w:eastAsia="Arial"/>
              </w:rPr>
              <w:t>[nombre de séries incluses, par exemple 2]</w:t>
            </w:r>
          </w:p>
        </w:tc>
      </w:tr>
      <w:tr>
        <w:tc>
          <w:tcPr>
            <w:tcW w:type="dxa" w:w="2835"/>
          </w:tcPr>
          <w:p>
            <w:r/>
            <w:r>
              <w:rPr>
                <w:b w:val="0"/>
                <w:i w:val="0"/>
                <w:sz w:val="20"/>
                <w:rFonts w:ascii="Arial" w:hAnsi="Arial" w:cs="Arial" w:eastAsia="Arial"/>
              </w:rPr>
              <w:t>Validation</w:t>
            </w:r>
          </w:p>
        </w:tc>
        <w:tc>
          <w:tcPr>
            <w:tcW w:type="dxa" w:w="6236"/>
          </w:tcPr>
          <w:p>
            <w:r/>
            <w:r>
              <w:rPr>
                <w:b w:val="0"/>
                <w:i w:val="0"/>
                <w:sz w:val="20"/>
                <w:rFonts w:ascii="Arial" w:hAnsi="Arial" w:cs="Arial" w:eastAsia="Arial"/>
              </w:rPr>
              <w:t>[qui valide, sous quel délai, silence valant accord ou non]</w:t>
            </w:r>
          </w:p>
        </w:tc>
      </w:tr>
    </w:tbl>
    <w:p/>
    <w:p>
      <w:pPr>
        <w:spacing w:before="200" w:after="60"/>
      </w:pPr>
      <w:r>
        <w:rPr>
          <w:b/>
          <w:i w:val="0"/>
          <w:color w:val="0B6B4F"/>
          <w:sz w:val="24"/>
          <w:rFonts w:ascii="Arial" w:hAnsi="Arial" w:cs="Arial" w:eastAsia="Arial"/>
        </w:rPr>
        <w:t>B. Contrat de création de contenu et de cession de droits</w:t>
      </w:r>
    </w:p>
    <w:p>
      <w:pPr>
        <w:spacing w:after="100"/>
      </w:pPr>
      <w:r>
        <w:rPr>
          <w:b w:val="0"/>
          <w:i w:val="0"/>
          <w:sz w:val="22"/>
          <w:rFonts w:ascii="Arial" w:hAnsi="Arial" w:cs="Arial" w:eastAsia="Arial"/>
        </w:rPr>
        <w:t>Entre [annonceur] (« l’annonceur ») et [créateur] (« le créateur »).</w:t>
      </w:r>
    </w:p>
    <w:p>
      <w:pPr>
        <w:spacing w:before="200" w:after="60"/>
      </w:pPr>
      <w:r>
        <w:rPr>
          <w:b/>
          <w:i w:val="0"/>
          <w:color w:val="0B6B4F"/>
          <w:sz w:val="24"/>
          <w:rFonts w:ascii="Arial" w:hAnsi="Arial" w:cs="Arial" w:eastAsia="Arial"/>
        </w:rPr>
        <w:t>1. Objet</w:t>
      </w:r>
    </w:p>
    <w:p>
      <w:pPr>
        <w:spacing w:after="100"/>
      </w:pPr>
      <w:r>
        <w:rPr>
          <w:b w:val="0"/>
          <w:i w:val="0"/>
          <w:sz w:val="22"/>
          <w:rFonts w:ascii="Arial" w:hAnsi="Arial" w:cs="Arial" w:eastAsia="Arial"/>
        </w:rPr>
        <w:t>Le créateur réalise les contenus décrits dans le brief ci-dessus et cède à l’annonceur les droits patrimoniaux définis à l’article 3.</w:t>
      </w:r>
    </w:p>
    <w:p>
      <w:pPr>
        <w:spacing w:before="200" w:after="60"/>
      </w:pPr>
      <w:r>
        <w:rPr>
          <w:b/>
          <w:i w:val="0"/>
          <w:color w:val="0B6B4F"/>
          <w:sz w:val="24"/>
          <w:rFonts w:ascii="Arial" w:hAnsi="Arial" w:cs="Arial" w:eastAsia="Arial"/>
        </w:rPr>
        <w:t>2. Prix et paiement</w:t>
      </w:r>
    </w:p>
    <w:p>
      <w:pPr>
        <w:spacing w:after="100"/>
      </w:pPr>
      <w:r>
        <w:rPr>
          <w:b w:val="0"/>
          <w:i w:val="0"/>
          <w:sz w:val="22"/>
          <w:rFonts w:ascii="Arial" w:hAnsi="Arial" w:cs="Arial" w:eastAsia="Arial"/>
        </w:rPr>
        <w:t>Prix forfaitaire : [montant] DA par [vidéo / lot]. Paiement : [acompte de [30] % à la signature, solde à la livraison], par [virement / autre moyen], sous [15] jours après facture. [Mention fiscale selon le statut du créateur.]</w:t>
      </w:r>
    </w:p>
    <w:p>
      <w:pPr>
        <w:spacing w:after="100"/>
      </w:pPr>
      <w:r>
        <w:rPr>
          <w:b w:val="0"/>
          <w:i/>
          <w:color w:val="666666"/>
          <w:sz w:val="19"/>
          <w:rFonts w:ascii="Arial" w:hAnsi="Arial" w:cs="Arial" w:eastAsia="Arial"/>
        </w:rPr>
        <w:t>Note : l’article 65 de l’ordonnance 03-05 pose comme règle une rémunération proportionnelle aux recettes, avec un minimum garanti, et ne permet le forfait que dans des cas listés. Un prix forfaitaire est courant en pratique pour ce type de contenu, mais faites relire cette clause par un juriste ; l’article 66 permet à l’auteur de demander la révision si le forfait est manifestement trop bas.</w:t>
      </w:r>
    </w:p>
    <w:p>
      <w:pPr>
        <w:spacing w:before="200" w:after="60"/>
      </w:pPr>
      <w:r>
        <w:rPr>
          <w:b/>
          <w:i w:val="0"/>
          <w:color w:val="0B6B4F"/>
          <w:sz w:val="24"/>
          <w:rFonts w:ascii="Arial" w:hAnsi="Arial" w:cs="Arial" w:eastAsia="Arial"/>
        </w:rPr>
        <w:t>3. Droits cédés (cession écrite : ord. 03-05, art. 62 et 64)</w:t>
      </w:r>
    </w:p>
    <w:tbl>
      <w:tblPr>
        <w:tblStyle w:val="TableGrid"/>
        <w:tblW w:type="auto" w:w="0"/>
        <w:jc w:val="center"/>
        <w:tblLook w:firstColumn="1" w:firstRow="1" w:lastColumn="0" w:lastRow="0" w:noHBand="0" w:noVBand="1" w:val="04A0"/>
      </w:tblPr>
      <w:tblGrid>
        <w:gridCol w:w="4873"/>
        <w:gridCol w:w="4873"/>
      </w:tblGrid>
      <w:tr>
        <w:tc>
          <w:tcPr>
            <w:tcW w:type="dxa" w:w="2835"/>
          </w:tcPr>
          <w:p>
            <w:r/>
            <w:r>
              <w:rPr>
                <w:b/>
                <w:i w:val="0"/>
                <w:color w:val="0B6B4F"/>
                <w:sz w:val="20"/>
                <w:rFonts w:ascii="Arial" w:hAnsi="Arial" w:cs="Arial" w:eastAsia="Arial"/>
              </w:rPr>
              <w:t>Nature des droits</w:t>
            </w:r>
          </w:p>
        </w:tc>
        <w:tc>
          <w:tcPr>
            <w:tcW w:type="dxa" w:w="6236"/>
          </w:tcPr>
          <w:p>
            <w:r/>
            <w:r>
              <w:rPr>
                <w:b/>
                <w:i w:val="0"/>
                <w:color w:val="0B6B4F"/>
                <w:sz w:val="20"/>
                <w:rFonts w:ascii="Arial" w:hAnsi="Arial" w:cs="Arial" w:eastAsia="Arial"/>
              </w:rPr>
              <w:t>[reproduction, communication au public, adaptation (montage, sous-titrage)]</w:t>
            </w:r>
          </w:p>
        </w:tc>
      </w:tr>
      <w:tr>
        <w:tc>
          <w:tcPr>
            <w:tcW w:type="dxa" w:w="2835"/>
          </w:tcPr>
          <w:p>
            <w:r/>
            <w:r>
              <w:rPr>
                <w:b w:val="0"/>
                <w:i w:val="0"/>
                <w:sz w:val="20"/>
                <w:rFonts w:ascii="Arial" w:hAnsi="Arial" w:cs="Arial" w:eastAsia="Arial"/>
              </w:rPr>
              <w:t>Formes d’exploitation</w:t>
            </w:r>
          </w:p>
        </w:tc>
        <w:tc>
          <w:tcPr>
            <w:tcW w:type="dxa" w:w="6236"/>
          </w:tcPr>
          <w:p>
            <w:r/>
            <w:r>
              <w:rPr>
                <w:b w:val="0"/>
                <w:i w:val="0"/>
                <w:sz w:val="20"/>
                <w:rFonts w:ascii="Arial" w:hAnsi="Arial" w:cs="Arial" w:eastAsia="Arial"/>
              </w:rPr>
              <w:t>[publications organiques sur [réseaux] ; publicités payantes sur [plateformes] ; site de l’annonceur]</w:t>
            </w:r>
          </w:p>
        </w:tc>
      </w:tr>
      <w:tr>
        <w:tc>
          <w:tcPr>
            <w:tcW w:type="dxa" w:w="2835"/>
          </w:tcPr>
          <w:p>
            <w:r/>
            <w:r>
              <w:rPr>
                <w:b w:val="0"/>
                <w:i w:val="0"/>
                <w:sz w:val="20"/>
                <w:rFonts w:ascii="Arial" w:hAnsi="Arial" w:cs="Arial" w:eastAsia="Arial"/>
              </w:rPr>
              <w:t>Durée</w:t>
            </w:r>
          </w:p>
        </w:tc>
        <w:tc>
          <w:tcPr>
            <w:tcW w:type="dxa" w:w="6236"/>
          </w:tcPr>
          <w:p>
            <w:r/>
            <w:r>
              <w:rPr>
                <w:b w:val="0"/>
                <w:i w:val="0"/>
                <w:sz w:val="20"/>
                <w:rFonts w:ascii="Arial" w:hAnsi="Arial" w:cs="Arial" w:eastAsia="Arial"/>
              </w:rPr>
              <w:t>[ex. : 12 mois à compter de la première publication]</w:t>
            </w:r>
          </w:p>
        </w:tc>
      </w:tr>
      <w:tr>
        <w:tc>
          <w:tcPr>
            <w:tcW w:type="dxa" w:w="2835"/>
          </w:tcPr>
          <w:p>
            <w:r/>
            <w:r>
              <w:rPr>
                <w:b w:val="0"/>
                <w:i w:val="0"/>
                <w:sz w:val="20"/>
                <w:rFonts w:ascii="Arial" w:hAnsi="Arial" w:cs="Arial" w:eastAsia="Arial"/>
              </w:rPr>
              <w:t>Territoire</w:t>
            </w:r>
          </w:p>
        </w:tc>
        <w:tc>
          <w:tcPr>
            <w:tcW w:type="dxa" w:w="6236"/>
          </w:tcPr>
          <w:p>
            <w:r/>
            <w:r>
              <w:rPr>
                <w:b w:val="0"/>
                <w:i w:val="0"/>
                <w:sz w:val="20"/>
                <w:rFonts w:ascii="Arial" w:hAnsi="Arial" w:cs="Arial" w:eastAsia="Arial"/>
              </w:rPr>
              <w:t>[ex. : Algérie / monde]</w:t>
            </w:r>
          </w:p>
        </w:tc>
      </w:tr>
      <w:tr>
        <w:tc>
          <w:tcPr>
            <w:tcW w:type="dxa" w:w="2835"/>
          </w:tcPr>
          <w:p>
            <w:r/>
            <w:r>
              <w:rPr>
                <w:b w:val="0"/>
                <w:i w:val="0"/>
                <w:sz w:val="20"/>
                <w:rFonts w:ascii="Arial" w:hAnsi="Arial" w:cs="Arial" w:eastAsia="Arial"/>
              </w:rPr>
              <w:t>Exclusivité</w:t>
            </w:r>
          </w:p>
        </w:tc>
        <w:tc>
          <w:tcPr>
            <w:tcW w:type="dxa" w:w="6236"/>
          </w:tcPr>
          <w:p>
            <w:r/>
            <w:r>
              <w:rPr>
                <w:b w:val="0"/>
                <w:i w:val="0"/>
                <w:sz w:val="20"/>
                <w:rFonts w:ascii="Arial" w:hAnsi="Arial" w:cs="Arial" w:eastAsia="Arial"/>
              </w:rPr>
              <w:t>[oui / non, et dans quelle catégorie de produits, pendant quelle durée]</w:t>
            </w:r>
          </w:p>
        </w:tc>
      </w:tr>
      <w:tr>
        <w:tc>
          <w:tcPr>
            <w:tcW w:type="dxa" w:w="2835"/>
          </w:tcPr>
          <w:p>
            <w:r/>
            <w:r>
              <w:rPr>
                <w:b w:val="0"/>
                <w:i w:val="0"/>
                <w:sz w:val="20"/>
                <w:rFonts w:ascii="Arial" w:hAnsi="Arial" w:cs="Arial" w:eastAsia="Arial"/>
              </w:rPr>
              <w:t>Conditions économiques</w:t>
            </w:r>
          </w:p>
        </w:tc>
        <w:tc>
          <w:tcPr>
            <w:tcW w:type="dxa" w:w="6236"/>
          </w:tcPr>
          <w:p>
            <w:r/>
            <w:r>
              <w:rPr>
                <w:b w:val="0"/>
                <w:i w:val="0"/>
                <w:sz w:val="20"/>
                <w:rFonts w:ascii="Arial" w:hAnsi="Arial" w:cs="Arial" w:eastAsia="Arial"/>
              </w:rPr>
              <w:t>le prix de l’article 2 ; [prix d’une prolongation ou d’un usage supplémentaire]</w:t>
            </w:r>
          </w:p>
        </w:tc>
      </w:tr>
    </w:tbl>
    <w:p/>
    <w:p>
      <w:pPr>
        <w:spacing w:after="100"/>
      </w:pPr>
      <w:r>
        <w:rPr>
          <w:b w:val="0"/>
          <w:i w:val="0"/>
          <w:sz w:val="22"/>
          <w:rFonts w:ascii="Arial" w:hAnsi="Arial" w:cs="Arial" w:eastAsia="Arial"/>
        </w:rPr>
        <w:t>Tout usage non prévu au tableau (autre plateforme, autre durée, autre territoire, support nouveau) exige l’accord écrit du créateur et un avenant (ord. 03-05, art. 72). La cession ne couvre pas les œuvres futures non définies au présent contrat (art. 71). L’annonceur ne transfère pas ces droits à un tiers sans l’autorisation expresse du créateur ; l’agence ou le prestataire de diffusion désigné ici est autorisé : [nom, ou « aucun »] (art. 70).</w:t>
      </w:r>
    </w:p>
    <w:p>
      <w:pPr>
        <w:spacing w:before="200" w:after="60"/>
      </w:pPr>
      <w:r>
        <w:rPr>
          <w:b/>
          <w:i w:val="0"/>
          <w:color w:val="0B6B4F"/>
          <w:sz w:val="24"/>
          <w:rFonts w:ascii="Arial" w:hAnsi="Arial" w:cs="Arial" w:eastAsia="Arial"/>
        </w:rPr>
        <w:t>4. Droits moraux et image</w:t>
      </w:r>
    </w:p>
    <w:p>
      <w:pPr>
        <w:spacing w:after="100"/>
      </w:pPr>
      <w:r>
        <w:rPr>
          <w:b w:val="0"/>
          <w:i w:val="0"/>
          <w:sz w:val="22"/>
          <w:rFonts w:ascii="Arial" w:hAnsi="Arial" w:cs="Arial" w:eastAsia="Arial"/>
        </w:rPr>
        <w:t>Le créateur conserve ses droits moraux, qui ne peuvent être cédés (ord. 03-05, art. 21 et 112) : mention de son nom ou pseudonyme [oui / non, comment] et respect de l’intégrité de la création. L’annonceur ne modifie pas le contenu au point d’en altérer le sens ou de porter atteinte à la réputation du créateur. Le créateur autorise l’usage de son image et de sa voix uniquement dans les limites du tableau de l’article 3 (code civil, art. 47 ; ord. 03-05, art. 109).</w:t>
      </w:r>
    </w:p>
    <w:p>
      <w:pPr>
        <w:spacing w:before="200" w:after="60"/>
      </w:pPr>
      <w:r>
        <w:rPr>
          <w:b/>
          <w:i w:val="0"/>
          <w:color w:val="0B6B4F"/>
          <w:sz w:val="24"/>
          <w:rFonts w:ascii="Arial" w:hAnsi="Arial" w:cs="Arial" w:eastAsia="Arial"/>
        </w:rPr>
        <w:t>5. Garanties du créateur</w:t>
      </w:r>
    </w:p>
    <w:p>
      <w:pPr>
        <w:spacing w:after="100"/>
      </w:pPr>
      <w:r>
        <w:rPr>
          <w:b w:val="0"/>
          <w:i w:val="0"/>
          <w:sz w:val="22"/>
          <w:rFonts w:ascii="Arial" w:hAnsi="Arial" w:cs="Arial" w:eastAsia="Arial"/>
        </w:rPr>
        <w:t>Le créateur déclare que le contenu est original, que les musiques, images et marques de tiers qu’il contient sont libres de droits ou licenciées, et que les personnes qui y apparaissent ont donné leur accord écrit.</w:t>
      </w:r>
    </w:p>
    <w:p>
      <w:pPr>
        <w:spacing w:before="200" w:after="60"/>
      </w:pPr>
      <w:r>
        <w:rPr>
          <w:b/>
          <w:i w:val="0"/>
          <w:color w:val="0B6B4F"/>
          <w:sz w:val="24"/>
          <w:rFonts w:ascii="Arial" w:hAnsi="Arial" w:cs="Arial" w:eastAsia="Arial"/>
        </w:rPr>
        <w:t>6. Publicité et conformité</w:t>
      </w:r>
    </w:p>
    <w:p>
      <w:pPr>
        <w:spacing w:after="100"/>
      </w:pPr>
      <w:r>
        <w:rPr>
          <w:b w:val="0"/>
          <w:i w:val="0"/>
          <w:sz w:val="22"/>
          <w:rFonts w:ascii="Arial" w:hAnsi="Arial" w:cs="Arial" w:eastAsia="Arial"/>
        </w:rPr>
        <w:t>Le contenu publié doit être identifiable comme publicité et identifier l’annonceur (loi 18-05, art. 30). Il respecte les règles publicitaires de la plateforme de diffusion. L’annonceur est responsable des allégations sur le produit qu’il demande au créateur de reprendre.</w:t>
      </w:r>
    </w:p>
    <w:p>
      <w:pPr>
        <w:spacing w:before="200" w:after="60"/>
      </w:pPr>
      <w:r>
        <w:rPr>
          <w:b/>
          <w:i w:val="0"/>
          <w:color w:val="0B6B4F"/>
          <w:sz w:val="24"/>
          <w:rFonts w:ascii="Arial" w:hAnsi="Arial" w:cs="Arial" w:eastAsia="Arial"/>
        </w:rPr>
        <w:t>7. Résiliation et litige</w:t>
      </w:r>
    </w:p>
    <w:p>
      <w:pPr>
        <w:spacing w:after="100"/>
      </w:pPr>
      <w:r>
        <w:rPr>
          <w:b w:val="0"/>
          <w:i w:val="0"/>
          <w:sz w:val="22"/>
          <w:rFonts w:ascii="Arial" w:hAnsi="Arial" w:cs="Arial" w:eastAsia="Arial"/>
        </w:rPr>
        <w:t>Chaque partie peut résilier par écrit en cas de manquement non corrigé sous [8] jours après mise en demeure. Les contenus déjà payés restent exploitables dans les limites de l’article 3. Droit applicable : droit algérien. Tribunal compétent : [tribunal de [ville]].</w:t>
      </w:r>
    </w:p>
    <w:tbl>
      <w:tblPr>
        <w:tblStyle w:val="TableGrid"/>
        <w:tblW w:type="auto" w:w="0"/>
        <w:jc w:val="center"/>
        <w:tblLook w:firstColumn="1" w:firstRow="1" w:lastColumn="0" w:lastRow="0" w:noHBand="0" w:noVBand="1" w:val="04A0"/>
      </w:tblPr>
      <w:tblGrid>
        <w:gridCol w:w="4873"/>
        <w:gridCol w:w="4873"/>
      </w:tblGrid>
      <w:tr>
        <w:tc>
          <w:tcPr>
            <w:tcW w:type="dxa" w:w="4535"/>
          </w:tcPr>
          <w:p>
            <w:r/>
            <w:r>
              <w:rPr>
                <w:b/>
                <w:i w:val="0"/>
                <w:color w:val="0B6B4F"/>
                <w:sz w:val="20"/>
                <w:rFonts w:ascii="Arial" w:hAnsi="Arial" w:cs="Arial" w:eastAsia="Arial"/>
              </w:rPr>
              <w:t>L’annonceur</w:t>
            </w:r>
          </w:p>
        </w:tc>
        <w:tc>
          <w:tcPr>
            <w:tcW w:type="dxa" w:w="4535"/>
          </w:tcPr>
          <w:p>
            <w:r/>
            <w:r>
              <w:rPr>
                <w:b/>
                <w:i w:val="0"/>
                <w:color w:val="0B6B4F"/>
                <w:sz w:val="20"/>
                <w:rFonts w:ascii="Arial" w:hAnsi="Arial" w:cs="Arial" w:eastAsia="Arial"/>
              </w:rPr>
              <w:t>Le créateur</w:t>
            </w:r>
          </w:p>
        </w:tc>
      </w:tr>
      <w:tr>
        <w:tc>
          <w:tcPr>
            <w:tcW w:type="dxa" w:w="4535"/>
          </w:tcPr>
          <w:p>
            <w:r/>
            <w:r>
              <w:rPr>
                <w:b w:val="0"/>
                <w:i w:val="0"/>
                <w:sz w:val="20"/>
                <w:rFonts w:ascii="Arial" w:hAnsi="Arial" w:cs="Arial" w:eastAsia="Arial"/>
              </w:rPr>
              <w:t>Nom : [ ]</w:t>
              <w:br/>
              <w:t>Date : [ ]</w:t>
              <w:br/>
              <w:t>Signature :</w:t>
              <w:br/>
              <w:br/>
              <w:br/>
            </w:r>
          </w:p>
        </w:tc>
        <w:tc>
          <w:tcPr>
            <w:tcW w:type="dxa" w:w="4535"/>
          </w:tcPr>
          <w:p>
            <w:r/>
            <w:r>
              <w:rPr>
                <w:b w:val="0"/>
                <w:i w:val="0"/>
                <w:sz w:val="20"/>
                <w:rFonts w:ascii="Arial" w:hAnsi="Arial" w:cs="Arial" w:eastAsia="Arial"/>
              </w:rPr>
              <w:t>Nom : [ ]</w:t>
              <w:br/>
              <w:t>Date : [ ]</w:t>
              <w:br/>
              <w:t>Signature :</w:t>
              <w:br/>
              <w:br/>
              <w:br/>
            </w:r>
          </w:p>
        </w:tc>
      </w:tr>
    </w:tbl>
    <w:p/>
    <w:p>
      <w:r>
        <w:rPr>
          <w:b w:val="0"/>
          <w:i/>
          <w:color w:val="888888"/>
          <w:sz w:val="17"/>
          <w:rFonts w:ascii="Arial" w:hAnsi="Arial" w:cs="Arial" w:eastAsia="Arial"/>
        </w:rPr>
        <w:t>Modèle fourni par bizalgeria.com à titre indicatif, version du 29 octobre 2026. Ce n’est pas un conseil juridique : faites-le relire par un avocat avant de l’utiliser. Remplacez tout ce qui est entre crochets.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