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after="200"/>
        <w:jc w:val="right"/>
      </w:pPr>
      <w:r>
        <w:rPr>
          <w:b/>
          <w:i w:val="0"/>
          <w:color w:val="0B6B4F"/>
          <w:sz w:val="36"/>
          <w:rFonts w:ascii="Arial" w:hAnsi="Arial" w:cs="Arial" w:eastAsia="Arial"/>
          <w:rtl/>
          <w:szCs w:val="36"/>
          <w:bCs/>
        </w:rPr>
        <w:t>اختيار مزود خدمات الويب: قائمة تحقق</w:t>
      </w:r>
    </w:p>
    <w:p>
      <w:pPr>
        <w:bidi/>
        <w:spacing w:after="100"/>
        <w:jc w:val="right"/>
      </w:pPr>
      <w:r>
        <w:rPr>
          <w:b w:val="0"/>
          <w:i w:val="0"/>
          <w:sz w:val="22"/>
          <w:rFonts w:ascii="Arial" w:hAnsi="Arial" w:cs="Arial" w:eastAsia="Arial"/>
          <w:rtl/>
          <w:szCs w:val="22"/>
        </w:rPr>
        <w:t>ضع علامة على كل سطر قبل التوقيع. وكل سطر لا تستطيع التأشير عليه سؤال يُطرح كتابيا.</w:t>
      </w:r>
    </w:p>
    <w:p>
      <w:pPr>
        <w:bidi/>
        <w:spacing w:before="200" w:after="60"/>
        <w:jc w:val="right"/>
      </w:pPr>
      <w:r>
        <w:rPr>
          <w:b/>
          <w:i w:val="0"/>
          <w:color w:val="0B6B4F"/>
          <w:sz w:val="24"/>
          <w:rFonts w:ascii="Arial" w:hAnsi="Arial" w:cs="Arial" w:eastAsia="Arial"/>
          <w:rtl/>
          <w:szCs w:val="24"/>
          <w:bCs/>
        </w:rPr>
        <w:t>1. دفتر الشروط (نفسه لكل مزود)</w:t>
      </w:r>
    </w:p>
    <w:p>
      <w:pPr>
        <w:bidi/>
        <w:spacing w:after="40"/>
        <w:ind w:right="340"/>
        <w:jc w:val="right"/>
      </w:pPr>
      <w:r>
        <w:rPr>
          <w:b w:val="0"/>
          <w:i w:val="0"/>
          <w:sz w:val="22"/>
          <w:rFonts w:ascii="Arial" w:hAnsi="Arial" w:cs="Arial" w:eastAsia="Arial"/>
          <w:rtl/>
          <w:szCs w:val="22"/>
        </w:rPr>
        <w:t>- هدف الموقع أو التطبيق في جملة واحدة، والجمهور المستهدف</w:t>
      </w:r>
    </w:p>
    <w:p>
      <w:pPr>
        <w:bidi/>
        <w:spacing w:after="40"/>
        <w:ind w:right="340"/>
        <w:jc w:val="right"/>
      </w:pPr>
      <w:r>
        <w:rPr>
          <w:b w:val="0"/>
          <w:i w:val="0"/>
          <w:sz w:val="22"/>
          <w:rFonts w:ascii="Arial" w:hAnsi="Arial" w:cs="Arial" w:eastAsia="Arial"/>
          <w:rtl/>
          <w:szCs w:val="22"/>
        </w:rPr>
        <w:t>- قائمة الصفحات أو الوظائف، وما هو خارج النطاق</w:t>
      </w:r>
    </w:p>
    <w:p>
      <w:pPr>
        <w:bidi/>
        <w:spacing w:after="40"/>
        <w:ind w:right="340"/>
        <w:jc w:val="right"/>
      </w:pPr>
      <w:r>
        <w:rPr>
          <w:b w:val="0"/>
          <w:i w:val="0"/>
          <w:sz w:val="22"/>
          <w:rFonts w:ascii="Arial" w:hAnsi="Arial" w:cs="Arial" w:eastAsia="Arial"/>
          <w:rtl/>
          <w:szCs w:val="22"/>
        </w:rPr>
        <w:t>- اللغات (الفرنسية، العربية، الإنجليزية) والتصميم من اليمين إلى اليسار للعربية</w:t>
      </w:r>
    </w:p>
    <w:p>
      <w:pPr>
        <w:bidi/>
        <w:spacing w:after="40"/>
        <w:ind w:right="340"/>
        <w:jc w:val="right"/>
      </w:pPr>
      <w:r>
        <w:rPr>
          <w:b w:val="0"/>
          <w:i w:val="0"/>
          <w:sz w:val="22"/>
          <w:rFonts w:ascii="Arial" w:hAnsi="Arial" w:cs="Arial" w:eastAsia="Arial"/>
          <w:rtl/>
          <w:szCs w:val="22"/>
        </w:rPr>
        <w:t>- المحتوى: من يكتب النصوص ويقدم الصور، وفي أي أجل</w:t>
      </w:r>
    </w:p>
    <w:p>
      <w:pPr>
        <w:bidi/>
        <w:spacing w:after="40"/>
        <w:ind w:right="340"/>
        <w:jc w:val="right"/>
      </w:pPr>
      <w:r>
        <w:rPr>
          <w:b w:val="0"/>
          <w:i w:val="0"/>
          <w:sz w:val="22"/>
          <w:rFonts w:ascii="Arial" w:hAnsi="Arial" w:cs="Arial" w:eastAsia="Arial"/>
          <w:rtl/>
          <w:szCs w:val="22"/>
        </w:rPr>
        <w:t>- نطاق الميزانية وتاريخ الإطلاق المستهدف</w:t>
      </w:r>
    </w:p>
    <w:p>
      <w:pPr>
        <w:bidi/>
        <w:spacing w:before="200" w:after="60"/>
        <w:jc w:val="right"/>
      </w:pPr>
      <w:r>
        <w:rPr>
          <w:b/>
          <w:i w:val="0"/>
          <w:color w:val="0B6B4F"/>
          <w:sz w:val="24"/>
          <w:rFonts w:ascii="Arial" w:hAnsi="Arial" w:cs="Arial" w:eastAsia="Arial"/>
          <w:rtl/>
          <w:szCs w:val="24"/>
          <w:bCs/>
        </w:rPr>
        <w:t>2. عرض السعر المكتوب</w:t>
      </w:r>
    </w:p>
    <w:p>
      <w:pPr>
        <w:bidi/>
        <w:spacing w:after="40"/>
        <w:ind w:right="340"/>
        <w:jc w:val="right"/>
      </w:pPr>
      <w:r>
        <w:rPr>
          <w:b w:val="0"/>
          <w:i w:val="0"/>
          <w:sz w:val="22"/>
          <w:rFonts w:ascii="Arial" w:hAnsi="Arial" w:cs="Arial" w:eastAsia="Arial"/>
          <w:rtl/>
          <w:szCs w:val="22"/>
        </w:rPr>
        <w:t>- مفصل حسب كل مُخرَج، لا مبلغ إجمالي واحد</w:t>
      </w:r>
    </w:p>
    <w:p>
      <w:pPr>
        <w:bidi/>
        <w:spacing w:after="40"/>
        <w:ind w:right="340"/>
        <w:jc w:val="right"/>
      </w:pPr>
      <w:r>
        <w:rPr>
          <w:b w:val="0"/>
          <w:i w:val="0"/>
          <w:sz w:val="22"/>
          <w:rFonts w:ascii="Arial" w:hAnsi="Arial" w:cs="Arial" w:eastAsia="Arial"/>
          <w:rtl/>
          <w:szCs w:val="22"/>
        </w:rPr>
        <w:t>- تاريخ الصلاحية، وجدول الدفع (دفعة مقدمة، مراحل، باقي المبلغ)</w:t>
      </w:r>
    </w:p>
    <w:p>
      <w:pPr>
        <w:bidi/>
        <w:spacing w:after="40"/>
        <w:ind w:right="340"/>
        <w:jc w:val="right"/>
      </w:pPr>
      <w:r>
        <w:rPr>
          <w:b w:val="0"/>
          <w:i w:val="0"/>
          <w:sz w:val="22"/>
          <w:rFonts w:ascii="Arial" w:hAnsi="Arial" w:cs="Arial" w:eastAsia="Arial"/>
          <w:rtl/>
          <w:szCs w:val="22"/>
        </w:rPr>
        <w:t>- عدد جولات التعديل المشمولة وسعر العمل الإضافي</w:t>
      </w:r>
    </w:p>
    <w:p>
      <w:pPr>
        <w:bidi/>
        <w:spacing w:after="40"/>
        <w:ind w:right="340"/>
        <w:jc w:val="right"/>
      </w:pPr>
      <w:r>
        <w:rPr>
          <w:b w:val="0"/>
          <w:i w:val="0"/>
          <w:sz w:val="22"/>
          <w:rFonts w:ascii="Arial" w:hAnsi="Arial" w:cs="Arial" w:eastAsia="Arial"/>
          <w:rtl/>
          <w:szCs w:val="22"/>
        </w:rPr>
        <w:t>- الاستضافة واسم النطاق والتراخيص الخارجية: مشمولة أم لا، وبأي كلفة سنوية</w:t>
      </w:r>
    </w:p>
    <w:p>
      <w:pPr>
        <w:bidi/>
        <w:spacing w:after="40"/>
        <w:ind w:right="340"/>
        <w:jc w:val="right"/>
      </w:pPr>
      <w:r>
        <w:rPr>
          <w:b w:val="0"/>
          <w:i w:val="0"/>
          <w:sz w:val="22"/>
          <w:rFonts w:ascii="Arial" w:hAnsi="Arial" w:cs="Arial" w:eastAsia="Arial"/>
          <w:rtl/>
          <w:szCs w:val="22"/>
        </w:rPr>
        <w:t>- الصيانة بعد الإطلاق: ما تشمله، ولأي مدة، وسعرها بعد ذلك</w:t>
      </w:r>
    </w:p>
    <w:p>
      <w:pPr>
        <w:bidi/>
        <w:spacing w:before="200" w:after="60"/>
        <w:jc w:val="right"/>
      </w:pPr>
      <w:r>
        <w:rPr>
          <w:b/>
          <w:i w:val="0"/>
          <w:color w:val="0B6B4F"/>
          <w:sz w:val="24"/>
          <w:rFonts w:ascii="Arial" w:hAnsi="Arial" w:cs="Arial" w:eastAsia="Arial"/>
          <w:rtl/>
          <w:szCs w:val="24"/>
          <w:bCs/>
        </w:rPr>
        <w:t>3. الملكية والوصول</w:t>
      </w:r>
    </w:p>
    <w:p>
      <w:pPr>
        <w:bidi/>
        <w:spacing w:after="40"/>
        <w:ind w:right="340"/>
        <w:jc w:val="right"/>
      </w:pPr>
      <w:r>
        <w:rPr>
          <w:b w:val="0"/>
          <w:i w:val="0"/>
          <w:sz w:val="22"/>
          <w:rFonts w:ascii="Arial" w:hAnsi="Arial" w:cs="Arial" w:eastAsia="Arial"/>
          <w:rtl/>
          <w:szCs w:val="22"/>
        </w:rPr>
        <w:t>- اسم النطاق مسجل باسم مؤسستك</w:t>
      </w:r>
    </w:p>
    <w:p>
      <w:pPr>
        <w:bidi/>
        <w:spacing w:after="40"/>
        <w:ind w:right="340"/>
        <w:jc w:val="right"/>
      </w:pPr>
      <w:r>
        <w:rPr>
          <w:b w:val="0"/>
          <w:i w:val="0"/>
          <w:sz w:val="22"/>
          <w:rFonts w:ascii="Arial" w:hAnsi="Arial" w:cs="Arial" w:eastAsia="Arial"/>
          <w:rtl/>
          <w:szCs w:val="22"/>
        </w:rPr>
        <w:t>- حساب الاستضافة باسمك، أو وصول مكتوب تحتفظ به إن غادرت</w:t>
      </w:r>
    </w:p>
    <w:p>
      <w:pPr>
        <w:bidi/>
        <w:spacing w:after="40"/>
        <w:ind w:right="340"/>
        <w:jc w:val="right"/>
      </w:pPr>
      <w:r>
        <w:rPr>
          <w:b w:val="0"/>
          <w:i w:val="0"/>
          <w:sz w:val="22"/>
          <w:rFonts w:ascii="Arial" w:hAnsi="Arial" w:cs="Arial" w:eastAsia="Arial"/>
          <w:rtl/>
          <w:szCs w:val="22"/>
        </w:rPr>
        <w:t>- صلاحيات المدير على الموقع ومستودع الشيفرة والإحصاءات</w:t>
      </w:r>
    </w:p>
    <w:p>
      <w:pPr>
        <w:bidi/>
        <w:spacing w:after="40"/>
        <w:ind w:right="340"/>
        <w:jc w:val="right"/>
      </w:pPr>
      <w:r>
        <w:rPr>
          <w:b w:val="0"/>
          <w:i w:val="0"/>
          <w:sz w:val="22"/>
          <w:rFonts w:ascii="Arial" w:hAnsi="Arial" w:cs="Arial" w:eastAsia="Arial"/>
          <w:rtl/>
          <w:szCs w:val="22"/>
        </w:rPr>
        <w:t>- بند مكتوب: التنازل لك عن الشيفرة المصدرية وملفات التصميم عند الدفع الكامل، مع بيان طبيعة الحقوق والاستعمالات والمدة والإقليم (الأمر 03-05، المادتان 62 و64)</w:t>
      </w:r>
    </w:p>
    <w:p>
      <w:pPr>
        <w:bidi/>
        <w:spacing w:after="40"/>
        <w:ind w:right="340"/>
        <w:jc w:val="right"/>
      </w:pPr>
      <w:r>
        <w:rPr>
          <w:b w:val="0"/>
          <w:i w:val="0"/>
          <w:sz w:val="22"/>
          <w:rFonts w:ascii="Arial" w:hAnsi="Arial" w:cs="Arial" w:eastAsia="Arial"/>
          <w:rtl/>
          <w:szCs w:val="22"/>
        </w:rPr>
        <w:t>- تسليم الشيفرة المصدرية ووثيقة تقنية قصيرة في النهاية</w:t>
      </w:r>
    </w:p>
    <w:p>
      <w:pPr>
        <w:bidi/>
        <w:spacing w:after="40"/>
        <w:ind w:right="340"/>
        <w:jc w:val="right"/>
      </w:pPr>
      <w:r>
        <w:rPr>
          <w:b w:val="0"/>
          <w:i w:val="0"/>
          <w:sz w:val="22"/>
          <w:rFonts w:ascii="Arial" w:hAnsi="Arial" w:cs="Arial" w:eastAsia="Arial"/>
          <w:rtl/>
          <w:szCs w:val="22"/>
        </w:rPr>
        <w:t>- قائمة المكونات الخارجية وتراخيصها</w:t>
      </w:r>
    </w:p>
    <w:p>
      <w:pPr>
        <w:bidi/>
        <w:spacing w:before="200" w:after="60"/>
        <w:jc w:val="right"/>
      </w:pPr>
      <w:r>
        <w:rPr>
          <w:b/>
          <w:i w:val="0"/>
          <w:color w:val="0B6B4F"/>
          <w:sz w:val="24"/>
          <w:rFonts w:ascii="Arial" w:hAnsi="Arial" w:cs="Arial" w:eastAsia="Arial"/>
          <w:rtl/>
          <w:szCs w:val="24"/>
          <w:bCs/>
        </w:rPr>
        <w:t>4. الجودة والاستلام</w:t>
      </w:r>
    </w:p>
    <w:p>
      <w:pPr>
        <w:bidi/>
        <w:spacing w:after="40"/>
        <w:ind w:right="340"/>
        <w:jc w:val="right"/>
      </w:pPr>
      <w:r>
        <w:rPr>
          <w:b w:val="0"/>
          <w:i w:val="0"/>
          <w:sz w:val="22"/>
          <w:rFonts w:ascii="Arial" w:hAnsi="Arial" w:cs="Arial" w:eastAsia="Arial"/>
          <w:rtl/>
          <w:szCs w:val="22"/>
        </w:rPr>
        <w:t>- اختبارات الاستلام مذكورة (الهاتف والحاسوب، الاستمارات، الدفع، السرعة)</w:t>
      </w:r>
    </w:p>
    <w:p>
      <w:pPr>
        <w:bidi/>
        <w:spacing w:after="40"/>
        <w:ind w:right="340"/>
        <w:jc w:val="right"/>
      </w:pPr>
      <w:r>
        <w:rPr>
          <w:b w:val="0"/>
          <w:i w:val="0"/>
          <w:sz w:val="22"/>
          <w:rFonts w:ascii="Arial" w:hAnsi="Arial" w:cs="Arial" w:eastAsia="Arial"/>
          <w:rtl/>
          <w:szCs w:val="22"/>
        </w:rPr>
        <w:t>- فترة ضمان لتصحيح الأخطاء بعد التسليم</w:t>
      </w:r>
    </w:p>
    <w:p>
      <w:pPr>
        <w:bidi/>
        <w:spacing w:after="40"/>
        <w:ind w:right="340"/>
        <w:jc w:val="right"/>
      </w:pPr>
      <w:r>
        <w:rPr>
          <w:b w:val="0"/>
          <w:i w:val="0"/>
          <w:sz w:val="22"/>
          <w:rFonts w:ascii="Arial" w:hAnsi="Arial" w:cs="Arial" w:eastAsia="Arial"/>
          <w:rtl/>
          <w:szCs w:val="22"/>
        </w:rPr>
        <w:t>- النسخ الاحتياطية: من يقوم بها، وكم مرة، وأين</w:t>
      </w:r>
    </w:p>
    <w:p>
      <w:pPr>
        <w:bidi/>
        <w:spacing w:after="40"/>
        <w:ind w:right="340"/>
        <w:jc w:val="right"/>
      </w:pPr>
      <w:r>
        <w:rPr>
          <w:b w:val="0"/>
          <w:i w:val="0"/>
          <w:sz w:val="22"/>
          <w:rFonts w:ascii="Arial" w:hAnsi="Arial" w:cs="Arial" w:eastAsia="Arial"/>
          <w:rtl/>
          <w:szCs w:val="22"/>
        </w:rPr>
        <w:t>- المعطيات الشخصية: استمارات الاتصال وبيانات الزبائن تعالج وفق القانون 18-07</w:t>
      </w:r>
    </w:p>
    <w:p>
      <w:pPr>
        <w:bidi/>
        <w:spacing w:before="200" w:after="60"/>
        <w:jc w:val="right"/>
      </w:pPr>
      <w:r>
        <w:rPr>
          <w:b/>
          <w:i w:val="0"/>
          <w:color w:val="0B6B4F"/>
          <w:sz w:val="24"/>
          <w:rFonts w:ascii="Arial" w:hAnsi="Arial" w:cs="Arial" w:eastAsia="Arial"/>
          <w:rtl/>
          <w:szCs w:val="24"/>
          <w:bCs/>
        </w:rPr>
        <w:t>5. علامات الإنذار</w:t>
      </w:r>
    </w:p>
    <w:p>
      <w:pPr>
        <w:bidi/>
        <w:spacing w:after="40"/>
        <w:ind w:right="340"/>
        <w:jc w:val="right"/>
      </w:pPr>
      <w:r>
        <w:rPr>
          <w:b w:val="0"/>
          <w:i w:val="0"/>
          <w:sz w:val="22"/>
          <w:rFonts w:ascii="Arial" w:hAnsi="Arial" w:cs="Arial" w:eastAsia="Arial"/>
          <w:rtl/>
          <w:szCs w:val="22"/>
        </w:rPr>
        <w:t>- لا عرض سعر مكتوب، أو سعر يتغير بعد الدفعة المقدمة</w:t>
      </w:r>
    </w:p>
    <w:p>
      <w:pPr>
        <w:bidi/>
        <w:spacing w:after="40"/>
        <w:ind w:right="340"/>
        <w:jc w:val="right"/>
      </w:pPr>
      <w:r>
        <w:rPr>
          <w:b w:val="0"/>
          <w:i w:val="0"/>
          <w:sz w:val="22"/>
          <w:rFonts w:ascii="Arial" w:hAnsi="Arial" w:cs="Arial" w:eastAsia="Arial"/>
          <w:rtl/>
          <w:szCs w:val="22"/>
        </w:rPr>
        <w:t>- النطاق أو الاستضافة باسم المزود وحده</w:t>
      </w:r>
    </w:p>
    <w:p>
      <w:pPr>
        <w:bidi/>
        <w:spacing w:after="40"/>
        <w:ind w:right="340"/>
        <w:jc w:val="right"/>
      </w:pPr>
      <w:r>
        <w:rPr>
          <w:b w:val="0"/>
          <w:i w:val="0"/>
          <w:sz w:val="22"/>
          <w:rFonts w:ascii="Arial" w:hAnsi="Arial" w:cs="Arial" w:eastAsia="Arial"/>
          <w:rtl/>
          <w:szCs w:val="22"/>
        </w:rPr>
        <w:t>- رفض تسليم الشيفرة أو صلاحيات المدير</w:t>
      </w:r>
    </w:p>
    <w:p>
      <w:pPr>
        <w:bidi/>
        <w:spacing w:after="40"/>
        <w:ind w:right="340"/>
        <w:jc w:val="right"/>
      </w:pPr>
      <w:r>
        <w:rPr>
          <w:b w:val="0"/>
          <w:i w:val="0"/>
          <w:sz w:val="22"/>
          <w:rFonts w:ascii="Arial" w:hAnsi="Arial" w:cs="Arial" w:eastAsia="Arial"/>
          <w:rtl/>
          <w:szCs w:val="22"/>
        </w:rPr>
        <w:t>- لا مراجع يمكن الاتصال بها، أو شهادات مجهولة فقط</w:t>
      </w:r>
    </w:p>
    <w:p>
      <w:pPr>
        <w:bidi/>
        <w:spacing w:after="40"/>
        <w:ind w:right="340"/>
        <w:jc w:val="right"/>
      </w:pPr>
      <w:r>
        <w:rPr>
          <w:b w:val="0"/>
          <w:i w:val="0"/>
          <w:sz w:val="22"/>
          <w:rFonts w:ascii="Arial" w:hAnsi="Arial" w:cs="Arial" w:eastAsia="Arial"/>
          <w:rtl/>
          <w:szCs w:val="22"/>
        </w:rPr>
        <w:t>- وعود بترتيب أو نتائج مضمونة</w:t>
      </w:r>
    </w:p>
    <w:p>
      <w:pPr>
        <w:bidi/>
        <w:spacing w:before="200" w:after="60"/>
        <w:jc w:val="right"/>
      </w:pPr>
      <w:r>
        <w:rPr>
          <w:b/>
          <w:i w:val="0"/>
          <w:color w:val="0B6B4F"/>
          <w:sz w:val="24"/>
          <w:rFonts w:ascii="Arial" w:hAnsi="Arial" w:cs="Arial" w:eastAsia="Arial"/>
          <w:rtl/>
          <w:szCs w:val="24"/>
          <w:bCs/>
        </w:rPr>
        <w:t>6. جدول المقارنة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bidiVisual/>
      </w:tblPr>
      <w:tblGrid>
        <w:gridCol w:w="2436"/>
        <w:gridCol w:w="2436"/>
        <w:gridCol w:w="2436"/>
        <w:gridCol w:w="2436"/>
      </w:tblGrid>
      <w:tr>
        <w:tc>
          <w:tcPr>
            <w:tcW w:type="dxa" w:w="2268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0B6B4F"/>
                <w:sz w:val="20"/>
                <w:rFonts w:ascii="Arial" w:hAnsi="Arial" w:cs="Arial" w:eastAsia="Arial"/>
                <w:rtl/>
                <w:szCs w:val="20"/>
                <w:bCs/>
              </w:rPr>
            </w:r>
          </w:p>
        </w:tc>
        <w:tc>
          <w:tcPr>
            <w:tcW w:type="dxa" w:w="2268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0B6B4F"/>
                <w:sz w:val="20"/>
                <w:rFonts w:ascii="Arial" w:hAnsi="Arial" w:cs="Arial" w:eastAsia="Arial"/>
                <w:rtl/>
                <w:szCs w:val="20"/>
                <w:bCs/>
              </w:rPr>
              <w:t>المزود أ</w:t>
            </w:r>
          </w:p>
        </w:tc>
        <w:tc>
          <w:tcPr>
            <w:tcW w:type="dxa" w:w="2268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0B6B4F"/>
                <w:sz w:val="20"/>
                <w:rFonts w:ascii="Arial" w:hAnsi="Arial" w:cs="Arial" w:eastAsia="Arial"/>
                <w:rtl/>
                <w:szCs w:val="20"/>
                <w:bCs/>
              </w:rPr>
              <w:t>المزود ب</w:t>
            </w:r>
          </w:p>
        </w:tc>
        <w:tc>
          <w:tcPr>
            <w:tcW w:type="dxa" w:w="2268"/>
          </w:tcPr>
          <w:p>
            <w:pPr>
              <w:bidi/>
              <w:jc w:val="right"/>
            </w:pPr>
            <w:r/>
            <w:r>
              <w:rPr>
                <w:b/>
                <w:i w:val="0"/>
                <w:color w:val="0B6B4F"/>
                <w:sz w:val="20"/>
                <w:rFonts w:ascii="Arial" w:hAnsi="Arial" w:cs="Arial" w:eastAsia="Arial"/>
                <w:rtl/>
                <w:szCs w:val="20"/>
                <w:bCs/>
              </w:rPr>
              <w:t>المزود ج</w:t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السعر الإجمالي</w:t>
            </w:r>
          </w:p>
        </w:tc>
        <w:tc>
          <w:tcPr>
            <w:tcW w:type="dxa" w:w="226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</w:r>
          </w:p>
        </w:tc>
        <w:tc>
          <w:tcPr>
            <w:tcW w:type="dxa" w:w="226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</w:r>
          </w:p>
        </w:tc>
        <w:tc>
          <w:tcPr>
            <w:tcW w:type="dxa" w:w="226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الدفعة المقدمة</w:t>
            </w:r>
          </w:p>
        </w:tc>
        <w:tc>
          <w:tcPr>
            <w:tcW w:type="dxa" w:w="226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</w:r>
          </w:p>
        </w:tc>
        <w:tc>
          <w:tcPr>
            <w:tcW w:type="dxa" w:w="226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</w:r>
          </w:p>
        </w:tc>
        <w:tc>
          <w:tcPr>
            <w:tcW w:type="dxa" w:w="226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تاريخ التسليم</w:t>
            </w:r>
          </w:p>
        </w:tc>
        <w:tc>
          <w:tcPr>
            <w:tcW w:type="dxa" w:w="226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</w:r>
          </w:p>
        </w:tc>
        <w:tc>
          <w:tcPr>
            <w:tcW w:type="dxa" w:w="226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</w:r>
          </w:p>
        </w:tc>
        <w:tc>
          <w:tcPr>
            <w:tcW w:type="dxa" w:w="226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بند ملكية الشيفرة</w:t>
            </w:r>
          </w:p>
        </w:tc>
        <w:tc>
          <w:tcPr>
            <w:tcW w:type="dxa" w:w="226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</w:r>
          </w:p>
        </w:tc>
        <w:tc>
          <w:tcPr>
            <w:tcW w:type="dxa" w:w="226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</w:r>
          </w:p>
        </w:tc>
        <w:tc>
          <w:tcPr>
            <w:tcW w:type="dxa" w:w="226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سعر الصيانة</w:t>
            </w:r>
          </w:p>
        </w:tc>
        <w:tc>
          <w:tcPr>
            <w:tcW w:type="dxa" w:w="226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</w:r>
          </w:p>
        </w:tc>
        <w:tc>
          <w:tcPr>
            <w:tcW w:type="dxa" w:w="226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</w:r>
          </w:p>
        </w:tc>
        <w:tc>
          <w:tcPr>
            <w:tcW w:type="dxa" w:w="226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</w:r>
          </w:p>
        </w:tc>
      </w:tr>
      <w:tr>
        <w:tc>
          <w:tcPr>
            <w:tcW w:type="dxa" w:w="226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  <w:t>المراجع التي تم التحقق منها</w:t>
            </w:r>
          </w:p>
        </w:tc>
        <w:tc>
          <w:tcPr>
            <w:tcW w:type="dxa" w:w="226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</w:r>
          </w:p>
        </w:tc>
        <w:tc>
          <w:tcPr>
            <w:tcW w:type="dxa" w:w="226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</w:r>
          </w:p>
        </w:tc>
        <w:tc>
          <w:tcPr>
            <w:tcW w:type="dxa" w:w="2268"/>
          </w:tcPr>
          <w:p>
            <w:pPr>
              <w:bidi/>
              <w:jc w:val="right"/>
            </w:pPr>
            <w:r/>
            <w:r>
              <w:rPr>
                <w:b w:val="0"/>
                <w:i w:val="0"/>
                <w:sz w:val="20"/>
                <w:rFonts w:ascii="Arial" w:hAnsi="Arial" w:cs="Arial" w:eastAsia="Arial"/>
                <w:rtl/>
                <w:szCs w:val="20"/>
              </w:rPr>
            </w:r>
          </w:p>
        </w:tc>
      </w:tr>
    </w:tbl>
    <w:p/>
    <w:p>
      <w:pPr>
        <w:bidi/>
        <w:jc w:val="right"/>
      </w:pPr>
      <w:r>
        <w:rPr>
          <w:b w:val="0"/>
          <w:i/>
          <w:color w:val="888888"/>
          <w:sz w:val="17"/>
          <w:rFonts w:ascii="Arial" w:hAnsi="Arial" w:cs="Arial" w:eastAsia="Arial"/>
          <w:rtl/>
          <w:szCs w:val="17.0"/>
        </w:rPr>
        <w:t>قائمة مقدمة من bizalgeria.com على سبيل الاسترشاد، نسخة 29 أكتوبر 2026. ليست استشارة قانونية: اعرض العقد على محام.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