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i w:val="0"/>
          <w:color w:val="0B6B4F"/>
          <w:sz w:val="36"/>
          <w:rFonts w:ascii="Arial" w:hAnsi="Arial" w:cs="Arial" w:eastAsia="Arial"/>
        </w:rPr>
        <w:t>Choisir son prestataire web : liste de contrôle</w:t>
      </w:r>
    </w:p>
    <w:p>
      <w:pPr>
        <w:spacing w:after="100"/>
      </w:pPr>
      <w:r>
        <w:rPr>
          <w:b w:val="0"/>
          <w:i w:val="0"/>
          <w:sz w:val="22"/>
          <w:rFonts w:ascii="Arial" w:hAnsi="Arial" w:cs="Arial" w:eastAsia="Arial"/>
        </w:rPr>
        <w:t>Cochez chaque ligne avant de signer. Une ligne que vous ne pouvez pas cocher est une question à poser par écrit.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1. Le cahier des charges (le même pour chaque prestataire)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Objectif du site ou de l’application en une phrase, et public visé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Liste des pages ou fonctionnalités, et ce qui est hors périmètre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Langues (français, arabe, anglais) et mise en page de droite à gauche si arabe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Contenus : qui rédige les textes et fournit les photos, et pour quand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Fourchette de budget et date de lancement visée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2. Le devis écrit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Détaillé par livrable, pas un total unique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Date de validité, échéancier (acompte, étapes, solde)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Nombre de séries de corrections incluses et prix du travail supplémentaire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Hébergement, nom de domaine et licences tierces : inclus ou non, et coût annuel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Maintenance après lancement : ce qui est inclus, pendant combien de temps, et le prix ensuite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3. Propriété et accès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Nom de domaine enregistré au nom de votre entreprise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Compte d’hébergement à votre nom, ou accès écrit que vous gardez si vous partez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Accès administrateur au site, au dépôt de code et aux statistiques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Clause écrite : le code source et les fichiers de design vous sont cédés au paiement intégral, avec la nature des droits, les usages, la durée et le territoire (ord. 03-05, art. 62 et 64)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Remise du code source et d’une courte documentation technique à la fin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Liste des composants tiers et de leurs licences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4. Qualité et réception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Tests de réception listés (téléphone et ordinateur, formulaires, paiement, vitesse)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Période de garantie pour corriger les bugs après livraison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Sauvegardes : qui les fait, à quelle fréquence, où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Données personnelles : formulaires de contact et données clients traités conformément à la loi 18-07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5. Signaux d’alerte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Pas de devis écrit, ou un prix qui change après l’acompte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Domaine ou hébergement au seul nom du prestataire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Refus de remettre le code ou l’accès administrateur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Aucune référence joignable, ou seulement des témoignages anonymes</w:t>
      </w:r>
    </w:p>
    <w:p>
      <w:pPr>
        <w:spacing w:after="40"/>
        <w:ind w:left="340"/>
      </w:pPr>
      <w:r>
        <w:rPr>
          <w:b w:val="0"/>
          <w:i w:val="0"/>
          <w:sz w:val="22"/>
          <w:rFonts w:ascii="Arial" w:hAnsi="Arial" w:cs="Arial" w:eastAsia="Arial"/>
        </w:rPr>
        <w:t>- Promesses de classement ou de résultats garantis</w:t>
      </w:r>
    </w:p>
    <w:p>
      <w:pPr>
        <w:spacing w:before="200" w:after="60"/>
      </w:pPr>
      <w:r>
        <w:rPr>
          <w:b/>
          <w:i w:val="0"/>
          <w:color w:val="0B6B4F"/>
          <w:sz w:val="24"/>
          <w:rFonts w:ascii="Arial" w:hAnsi="Arial" w:cs="Arial" w:eastAsia="Arial"/>
        </w:rPr>
        <w:t>6. Tableau comparatif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268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Prestataire A</w:t>
            </w:r>
          </w:p>
        </w:tc>
        <w:tc>
          <w:tcPr>
            <w:tcW w:type="dxa" w:w="2268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Prestataire B</w:t>
            </w:r>
          </w:p>
        </w:tc>
        <w:tc>
          <w:tcPr>
            <w:tcW w:type="dxa" w:w="2268"/>
          </w:tcPr>
          <w:p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</w:rPr>
              <w:t>Prestataire C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Prix total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Acompte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Date de livraison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Clause de propriété du code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Prix de la maintenance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  <w:t>Références vérifiées</w:t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  <w:tc>
          <w:tcPr>
            <w:tcW w:type="dxa" w:w="2268"/>
          </w:tcPr>
          <w:p>
            <w:r/>
            <w:r>
              <w:rPr>
                <w:b w:val="0"/>
                <w:i w:val="0"/>
                <w:sz w:val="20"/>
                <w:rFonts w:ascii="Arial" w:hAnsi="Arial" w:cs="Arial" w:eastAsia="Arial"/>
              </w:rPr>
            </w:r>
          </w:p>
        </w:tc>
      </w:tr>
    </w:tbl>
    <w:p/>
    <w:p>
      <w:r>
        <w:rPr>
          <w:b w:val="0"/>
          <w:i/>
          <w:color w:val="888888"/>
          <w:sz w:val="17"/>
          <w:rFonts w:ascii="Arial" w:hAnsi="Arial" w:cs="Arial" w:eastAsia="Arial"/>
        </w:rPr>
        <w:t>Liste fournie par bizalgeria.com à titre indicatif, version du 29 octobre 2026. Ce n’est pas un conseil juridique : faites relire le contrat par un avocat.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